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304" w:line="214" w:lineRule="auto"/>
        <w:ind w:left="79"/>
        <w:jc w:val="center"/>
        <w:outlineLvl w:val="0"/>
        <w:rPr>
          <w:rFonts w:ascii="微软雅黑" w:hAnsi="微软雅黑" w:eastAsia="微软雅黑" w:cs="微软雅黑"/>
          <w:spacing w:val="2"/>
          <w:sz w:val="71"/>
          <w:szCs w:val="71"/>
          <w:lang w:val="en-US"/>
        </w:rPr>
      </w:pPr>
      <w:r>
        <w:rPr>
          <w:rFonts w:hint="eastAsia" w:ascii="微软雅黑" w:hAnsi="微软雅黑" w:eastAsia="微软雅黑" w:cs="微软雅黑"/>
          <w:spacing w:val="4"/>
          <w:sz w:val="71"/>
          <w:szCs w:val="71"/>
          <w:lang w:val="en-US" w:eastAsia="zh-CN"/>
        </w:rPr>
        <w:t>夹江县港航中心</w:t>
      </w:r>
    </w:p>
    <w:p>
      <w:pPr>
        <w:spacing w:before="304" w:line="214" w:lineRule="auto"/>
        <w:ind w:left="79"/>
        <w:jc w:val="center"/>
        <w:outlineLvl w:val="0"/>
        <w:rPr>
          <w:rFonts w:ascii="微软雅黑" w:hAnsi="微软雅黑" w:eastAsia="微软雅黑" w:cs="微软雅黑"/>
          <w:sz w:val="71"/>
          <w:szCs w:val="71"/>
        </w:rPr>
      </w:pPr>
      <w:r>
        <w:rPr>
          <w:rFonts w:ascii="Times New Roman" w:hAnsi="Times New Roman" w:eastAsia="Times New Roman" w:cs="Times New Roman"/>
          <w:spacing w:val="2"/>
          <w:sz w:val="71"/>
          <w:szCs w:val="71"/>
        </w:rPr>
        <w:t xml:space="preserve">2022 </w:t>
      </w:r>
      <w:r>
        <w:rPr>
          <w:rFonts w:ascii="微软雅黑" w:hAnsi="微软雅黑" w:eastAsia="微软雅黑" w:cs="微软雅黑"/>
          <w:spacing w:val="2"/>
          <w:sz w:val="71"/>
          <w:szCs w:val="71"/>
        </w:rPr>
        <w:t>年</w:t>
      </w:r>
      <w:r>
        <w:rPr>
          <w:rFonts w:ascii="微软雅黑" w:hAnsi="微软雅黑" w:eastAsia="微软雅黑" w:cs="微软雅黑"/>
          <w:spacing w:val="8"/>
          <w:sz w:val="71"/>
          <w:szCs w:val="71"/>
        </w:rPr>
        <w:t>单位预</w:t>
      </w:r>
      <w:r>
        <w:rPr>
          <w:rFonts w:ascii="微软雅黑" w:hAnsi="微软雅黑" w:eastAsia="微软雅黑" w:cs="微软雅黑"/>
          <w:spacing w:val="7"/>
          <w:sz w:val="71"/>
          <w:szCs w:val="71"/>
        </w:rPr>
        <w:t>算</w:t>
      </w:r>
    </w:p>
    <w:p>
      <w:pPr>
        <w:sectPr>
          <w:footerReference r:id="rId3" w:type="default"/>
          <w:pgSz w:w="11906" w:h="16839"/>
          <w:pgMar w:top="1431" w:right="1785" w:bottom="856" w:left="1785" w:header="0" w:footer="572" w:gutter="0"/>
          <w:cols w:space="720" w:num="1"/>
        </w:sectPr>
      </w:pPr>
    </w:p>
    <w:p>
      <w:pPr>
        <w:spacing w:before="129" w:line="184" w:lineRule="auto"/>
        <w:ind w:left="3865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1"/>
          <w:sz w:val="35"/>
          <w:szCs w:val="35"/>
        </w:rPr>
        <w:t>目</w:t>
      </w:r>
      <w:r>
        <w:rPr>
          <w:rFonts w:ascii="微软雅黑" w:hAnsi="微软雅黑" w:eastAsia="微软雅黑" w:cs="微软雅黑"/>
          <w:spacing w:val="-19"/>
          <w:sz w:val="35"/>
          <w:szCs w:val="35"/>
        </w:rPr>
        <w:t>录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6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一部分 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夹江县港航中心</w:t>
      </w:r>
      <w:r>
        <w:rPr>
          <w:rFonts w:ascii="黑体" w:hAnsi="黑体" w:eastAsia="黑体" w:cs="黑体"/>
          <w:spacing w:val="8"/>
          <w:sz w:val="31"/>
          <w:szCs w:val="31"/>
        </w:rPr>
        <w:t>概况</w:t>
      </w:r>
    </w:p>
    <w:p>
      <w:pPr>
        <w:spacing w:before="220" w:line="523" w:lineRule="exact"/>
        <w:outlineLvl w:val="1"/>
        <w:rPr>
          <w:rFonts w:hint="eastAsia" w:ascii="仿宋" w:hAnsi="仿宋" w:eastAsia="仿宋" w:cs="仿宋"/>
          <w:spacing w:val="5"/>
          <w:position w:val="3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6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5"/>
          <w:position w:val="3"/>
          <w:sz w:val="31"/>
          <w:szCs w:val="31"/>
        </w:rPr>
        <w:t>、职能简介</w:t>
      </w:r>
      <w:r>
        <w:rPr>
          <w:rFonts w:hint="eastAsia" w:ascii="仿宋" w:hAnsi="仿宋" w:eastAsia="仿宋" w:cs="仿宋"/>
          <w:spacing w:val="5"/>
          <w:position w:val="3"/>
          <w:sz w:val="31"/>
          <w:szCs w:val="31"/>
          <w:lang w:val="en-US" w:eastAsia="zh-CN"/>
        </w:rPr>
        <w:t xml:space="preserve"> </w:t>
      </w:r>
    </w:p>
    <w:p>
      <w:pPr>
        <w:spacing w:before="76" w:line="226" w:lineRule="auto"/>
        <w:outlineLvl w:val="1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年重点工</w:t>
      </w:r>
      <w:r>
        <w:rPr>
          <w:rFonts w:ascii="仿宋" w:hAnsi="仿宋" w:eastAsia="仿宋" w:cs="仿宋"/>
          <w:spacing w:val="2"/>
          <w:sz w:val="31"/>
          <w:szCs w:val="31"/>
        </w:rPr>
        <w:t>作</w:t>
      </w:r>
    </w:p>
    <w:p>
      <w:pPr>
        <w:spacing w:before="221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第二部分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夹江县港航中心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4"/>
          <w:sz w:val="31"/>
          <w:szCs w:val="31"/>
        </w:rPr>
        <w:t>年单位预算表</w:t>
      </w:r>
    </w:p>
    <w:p>
      <w:pPr>
        <w:spacing w:before="218" w:line="523" w:lineRule="exact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0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、单位收支总表</w:t>
      </w:r>
    </w:p>
    <w:p>
      <w:pPr>
        <w:spacing w:before="77" w:line="437" w:lineRule="exact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position w:val="2"/>
          <w:sz w:val="31"/>
          <w:szCs w:val="31"/>
        </w:rPr>
        <w:t>二、单位收入总</w:t>
      </w:r>
      <w:r>
        <w:rPr>
          <w:rFonts w:ascii="仿宋" w:hAnsi="仿宋" w:eastAsia="仿宋" w:cs="仿宋"/>
          <w:spacing w:val="4"/>
          <w:position w:val="2"/>
          <w:sz w:val="31"/>
          <w:szCs w:val="31"/>
        </w:rPr>
        <w:t>表</w:t>
      </w:r>
    </w:p>
    <w:p>
      <w:pPr>
        <w:spacing w:before="163" w:line="415" w:lineRule="exact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三、单位支出总表</w:t>
      </w:r>
    </w:p>
    <w:p>
      <w:pPr>
        <w:spacing w:before="185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四、财政拨款收支预算总</w:t>
      </w:r>
      <w:r>
        <w:rPr>
          <w:rFonts w:ascii="仿宋" w:hAnsi="仿宋" w:eastAsia="仿宋" w:cs="仿宋"/>
          <w:spacing w:val="3"/>
          <w:sz w:val="31"/>
          <w:szCs w:val="31"/>
        </w:rPr>
        <w:t>表</w:t>
      </w:r>
    </w:p>
    <w:p>
      <w:pPr>
        <w:spacing w:before="198" w:line="226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五、财政拨款支出预算表 (部门经济分类科目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</w:p>
    <w:p>
      <w:pPr>
        <w:spacing w:before="220" w:line="236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、一般公共预算支出预算表</w:t>
      </w:r>
    </w:p>
    <w:p>
      <w:pPr>
        <w:spacing w:before="204" w:line="239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七、一般公共预算基本支出预算</w:t>
      </w:r>
      <w:r>
        <w:rPr>
          <w:rFonts w:ascii="仿宋" w:hAnsi="仿宋" w:eastAsia="仿宋" w:cs="仿宋"/>
          <w:spacing w:val="7"/>
          <w:sz w:val="31"/>
          <w:szCs w:val="31"/>
        </w:rPr>
        <w:t>表</w:t>
      </w:r>
    </w:p>
    <w:p>
      <w:pPr>
        <w:spacing w:before="197" w:line="239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八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、一般公共预算项目支出预算表</w:t>
      </w:r>
    </w:p>
    <w:p>
      <w:pPr>
        <w:spacing w:before="200" w:line="230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2"/>
          <w:sz w:val="31"/>
          <w:szCs w:val="31"/>
        </w:rPr>
        <w:t>九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、一般公共预算“三公”经费支出预算表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</w:p>
    <w:p>
      <w:pPr>
        <w:spacing w:before="213" w:line="228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7"/>
          <w:sz w:val="31"/>
          <w:szCs w:val="31"/>
        </w:rPr>
        <w:t>、政府性基金预算支出表</w:t>
      </w:r>
    </w:p>
    <w:p>
      <w:pPr>
        <w:spacing w:before="217" w:line="228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、政府性基金预算“三公”经费支出预算表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</w:p>
    <w:p>
      <w:pPr>
        <w:spacing w:before="218" w:line="227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5"/>
          <w:sz w:val="31"/>
          <w:szCs w:val="31"/>
        </w:rPr>
        <w:t>十</w:t>
      </w:r>
      <w:r>
        <w:rPr>
          <w:rFonts w:ascii="仿宋" w:hAnsi="仿宋" w:eastAsia="仿宋" w:cs="仿宋"/>
          <w:spacing w:val="-3"/>
          <w:sz w:val="31"/>
          <w:szCs w:val="31"/>
        </w:rPr>
        <w:t>二、 国有资本经营预算支出表</w:t>
      </w:r>
    </w:p>
    <w:p>
      <w:pPr>
        <w:spacing w:before="218" w:line="228" w:lineRule="auto"/>
        <w:outlineLvl w:val="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十三、单位预算项目支出绩效目标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</w:p>
    <w:p>
      <w:pPr>
        <w:spacing w:before="218" w:line="226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三部分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夹江县港航中心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10"/>
          <w:sz w:val="31"/>
          <w:szCs w:val="31"/>
        </w:rPr>
        <w:t>年单位预算情况说</w:t>
      </w:r>
      <w:r>
        <w:rPr>
          <w:rFonts w:ascii="黑体" w:hAnsi="黑体" w:eastAsia="黑体" w:cs="黑体"/>
          <w:sz w:val="31"/>
          <w:szCs w:val="31"/>
        </w:rPr>
        <w:t>明</w:t>
      </w:r>
    </w:p>
    <w:p>
      <w:pPr>
        <w:spacing w:before="220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四部分 名词解释</w:t>
      </w:r>
    </w:p>
    <w:p>
      <w:pPr>
        <w:sectPr>
          <w:footerReference r:id="rId4" w:type="default"/>
          <w:pgSz w:w="11906" w:h="16839"/>
          <w:pgMar w:top="1431" w:right="1785" w:bottom="855" w:left="1785" w:header="0" w:footer="572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223" w:line="212" w:lineRule="auto"/>
        <w:ind w:left="274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4"/>
          <w:sz w:val="52"/>
          <w:szCs w:val="52"/>
        </w:rPr>
        <w:t>第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一部分 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val="en-US" w:eastAsia="zh-CN"/>
        </w:rPr>
        <w:t>夹江县港航中心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>概况</w:t>
      </w:r>
    </w:p>
    <w:p>
      <w:pPr>
        <w:sectPr>
          <w:footerReference r:id="rId5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numPr>
          <w:ilvl w:val="0"/>
          <w:numId w:val="1"/>
        </w:numPr>
        <w:spacing w:before="162" w:line="514" w:lineRule="exact"/>
        <w:ind w:left="672"/>
        <w:outlineLvl w:val="1"/>
        <w:rPr>
          <w:rFonts w:ascii="黑体" w:hAnsi="黑体" w:eastAsia="黑体" w:cs="黑体"/>
          <w:spacing w:val="7"/>
          <w:position w:val="4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职能简介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7" w:firstLineChars="196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（一）负责贯彻执行</w:t>
      </w:r>
      <w:r>
        <w:rPr>
          <w:rStyle w:val="7"/>
          <w:rFonts w:hint="eastAsia" w:ascii="仿宋_GB2312" w:eastAsia="仿宋_GB2312"/>
          <w:sz w:val="32"/>
          <w:szCs w:val="32"/>
        </w:rPr>
        <w:t>国家、省、市</w:t>
      </w:r>
      <w:r>
        <w:rPr>
          <w:rFonts w:hint="eastAsia" w:ascii="仿宋_GB2312" w:eastAsia="仿宋_GB2312"/>
          <w:sz w:val="32"/>
          <w:szCs w:val="32"/>
        </w:rPr>
        <w:t>水上交通安全和</w:t>
      </w:r>
      <w:r>
        <w:rPr>
          <w:rStyle w:val="7"/>
          <w:rFonts w:hint="eastAsia" w:ascii="仿宋_GB2312" w:eastAsia="仿宋_GB2312"/>
          <w:sz w:val="32"/>
          <w:szCs w:val="32"/>
        </w:rPr>
        <w:t>水路运输管理</w:t>
      </w:r>
      <w:r>
        <w:rPr>
          <w:rFonts w:hint="eastAsia" w:ascii="仿宋_GB2312" w:eastAsia="仿宋_GB2312"/>
          <w:sz w:val="32"/>
          <w:szCs w:val="32"/>
        </w:rPr>
        <w:t>的法律、法规、方针和政策。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7" w:firstLineChars="168"/>
        <w:textAlignment w:val="baseline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Style w:val="7"/>
          <w:rFonts w:hint="eastAsia" w:ascii="仿宋_GB2312" w:eastAsia="仿宋_GB2312"/>
          <w:sz w:val="32"/>
          <w:szCs w:val="32"/>
        </w:rPr>
        <w:t>负责辖区内航道、港口、码头等水上交通安全的监督管理。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（三）负责营运船舶登记、航行等管理服务工作。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（四）负责对辖区内各镇人民政府（街道办事处）的乡镇船舶管理情况进行业务指导。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360" w:lineRule="auto"/>
        <w:ind w:firstLine="640" w:firstLineChars="200"/>
        <w:textAlignment w:val="baseline"/>
        <w:outlineLvl w:val="1"/>
        <w:rPr>
          <w:rFonts w:ascii="黑体" w:hAnsi="黑体" w:eastAsia="黑体" w:cs="黑体"/>
          <w:spacing w:val="7"/>
          <w:position w:val="4"/>
          <w:sz w:val="31"/>
          <w:szCs w:val="31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完成上级行政及业务主管部门交办的其它工作。</w:t>
      </w:r>
    </w:p>
    <w:p>
      <w:pPr>
        <w:spacing w:before="325" w:line="227" w:lineRule="auto"/>
        <w:ind w:left="703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黑体" w:hAnsi="黑体" w:eastAsia="黑体" w:cs="黑体"/>
          <w:spacing w:val="6"/>
          <w:sz w:val="31"/>
          <w:szCs w:val="31"/>
        </w:rPr>
        <w:t>年重点工作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7" w:line="360" w:lineRule="auto"/>
        <w:ind w:left="34" w:right="13" w:firstLine="658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加强安全监管，全年不发生重大及以上运输船舶水上交通安全责任事故，不突破省、市下达的安全生产事故控制指标，不发生船舶水污染责任事故。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按照“属地管理原则”进一步做好辖区内港口船舶污染防治工作。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30" w:firstLineChars="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完成全县各镇（街道）管船员、持证船员水上交通安全教育培训。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做好春节黄金周、春运、“五一”、“十一”等重要节假日和重点时段水路旅客运输保障服务工作，按时按量完成运输量统计上报。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加强党风廉政和惩防体系建设，确保本单位不发生腐败案件及严重影响行业形象的问题。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223" w:line="212" w:lineRule="auto"/>
        <w:ind w:left="795"/>
        <w:outlineLvl w:val="0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ascii="微软雅黑" w:hAnsi="微软雅黑" w:eastAsia="微软雅黑" w:cs="微软雅黑"/>
          <w:spacing w:val="6"/>
          <w:sz w:val="52"/>
          <w:szCs w:val="52"/>
        </w:rPr>
        <w:t>第二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部分 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val="en-US" w:eastAsia="zh-CN"/>
        </w:rPr>
        <w:t>夹江县港航中心</w:t>
      </w:r>
    </w:p>
    <w:p>
      <w:pPr>
        <w:spacing w:before="172" w:line="183" w:lineRule="auto"/>
        <w:ind w:left="2033"/>
        <w:outlineLvl w:val="1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年单位预算表</w:t>
      </w:r>
    </w:p>
    <w:p>
      <w:pPr>
        <w:sectPr>
          <w:footerReference r:id="rId6" w:type="default"/>
          <w:pgSz w:w="11906" w:h="16839"/>
          <w:pgMar w:top="1431" w:right="1785" w:bottom="856" w:left="1785" w:header="0" w:footer="575" w:gutter="0"/>
          <w:cols w:space="720" w:num="1"/>
        </w:sectPr>
      </w:pPr>
    </w:p>
    <w:tbl>
      <w:tblPr>
        <w:tblStyle w:val="6"/>
        <w:tblW w:w="8340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9"/>
        <w:gridCol w:w="1190"/>
        <w:gridCol w:w="2976"/>
        <w:gridCol w:w="1195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979" w:type="dxa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5361" w:type="dxa"/>
            <w:gridSpan w:val="3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64" w:line="222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公开表 1</w:t>
            </w:r>
          </w:p>
          <w:p>
            <w:pPr>
              <w:spacing w:before="155" w:line="228" w:lineRule="auto"/>
              <w:ind w:left="2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位收支总表</w:t>
            </w:r>
          </w:p>
          <w:p>
            <w:pPr>
              <w:spacing w:before="133" w:line="221" w:lineRule="auto"/>
              <w:ind w:left="35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69" w:type="dxa"/>
            <w:gridSpan w:val="2"/>
            <w:shd w:val="clear" w:color="auto" w:fill="EFF2F7"/>
            <w:vAlign w:val="top"/>
          </w:tcPr>
          <w:p>
            <w:pPr>
              <w:spacing w:before="149" w:line="221" w:lineRule="auto"/>
              <w:ind w:left="1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4171" w:type="dxa"/>
            <w:gridSpan w:val="2"/>
            <w:shd w:val="clear" w:color="auto" w:fill="EFF2F7"/>
            <w:vAlign w:val="top"/>
          </w:tcPr>
          <w:p>
            <w:pPr>
              <w:spacing w:before="148" w:line="222" w:lineRule="auto"/>
              <w:ind w:left="1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79" w:type="dxa"/>
            <w:shd w:val="clear" w:color="auto" w:fill="EFF2F7"/>
            <w:vAlign w:val="top"/>
          </w:tcPr>
          <w:p>
            <w:pPr>
              <w:spacing w:before="150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90" w:type="dxa"/>
            <w:shd w:val="clear" w:color="auto" w:fill="EFF2F7"/>
            <w:vAlign w:val="top"/>
          </w:tcPr>
          <w:p>
            <w:pPr>
              <w:spacing w:before="150" w:line="221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2976" w:type="dxa"/>
            <w:shd w:val="clear" w:color="auto" w:fill="EFF2F7"/>
            <w:vAlign w:val="top"/>
          </w:tcPr>
          <w:p>
            <w:pPr>
              <w:spacing w:before="150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95" w:type="dxa"/>
            <w:shd w:val="clear" w:color="auto" w:fill="EFF2F7"/>
            <w:vAlign w:val="top"/>
          </w:tcPr>
          <w:p>
            <w:pPr>
              <w:spacing w:before="150" w:line="221" w:lineRule="auto"/>
              <w:ind w:lef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5" w:line="340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一、一般公共预算拨款收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入</w:t>
            </w:r>
          </w:p>
        </w:tc>
        <w:tc>
          <w:tcPr>
            <w:tcW w:w="1190" w:type="dxa"/>
            <w:vAlign w:val="top"/>
          </w:tcPr>
          <w:p>
            <w:pPr>
              <w:spacing w:before="169" w:line="184" w:lineRule="auto"/>
              <w:ind w:left="207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2976" w:type="dxa"/>
            <w:vAlign w:val="top"/>
          </w:tcPr>
          <w:p>
            <w:pPr>
              <w:spacing w:before="135" w:line="340" w:lineRule="exact"/>
              <w:ind w:left="24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一、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2"/>
                <w:szCs w:val="22"/>
                <w:lang w:val="en-US" w:eastAsia="zh-CN"/>
              </w:rPr>
              <w:t>交通运输支出</w:t>
            </w:r>
          </w:p>
        </w:tc>
        <w:tc>
          <w:tcPr>
            <w:tcW w:w="1195" w:type="dxa"/>
            <w:vAlign w:val="top"/>
          </w:tcPr>
          <w:p>
            <w:pPr>
              <w:spacing w:before="170" w:line="207" w:lineRule="auto"/>
              <w:ind w:left="304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45.93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93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二、政府性基金预算拨款收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6" w:line="293" w:lineRule="exact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二、教育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支出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5" w:lineRule="auto"/>
              <w:ind w:left="52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0.89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79" w:type="dxa"/>
            <w:vAlign w:val="top"/>
          </w:tcPr>
          <w:p>
            <w:pPr>
              <w:spacing w:before="63" w:line="243" w:lineRule="auto"/>
              <w:ind w:left="22" w:righ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三、国有资本经营</w:t>
            </w:r>
            <w:r>
              <w:rPr>
                <w:rFonts w:ascii="宋体" w:hAnsi="宋体" w:eastAsia="宋体" w:cs="宋体"/>
                <w:sz w:val="22"/>
                <w:szCs w:val="22"/>
              </w:rPr>
              <w:t>预算拨款收 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220" w:line="238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三、社会保障和</w:t>
            </w:r>
            <w:r>
              <w:rPr>
                <w:rFonts w:ascii="宋体" w:hAnsi="宋体" w:eastAsia="宋体" w:cs="宋体"/>
                <w:sz w:val="22"/>
                <w:szCs w:val="22"/>
              </w:rPr>
              <w:t>就业支出</w:t>
            </w:r>
          </w:p>
        </w:tc>
        <w:tc>
          <w:tcPr>
            <w:tcW w:w="1195" w:type="dxa"/>
            <w:vAlign w:val="top"/>
          </w:tcPr>
          <w:p>
            <w:pPr>
              <w:spacing w:before="255" w:line="185" w:lineRule="auto"/>
              <w:ind w:left="526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5.18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5" w:line="224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、事业收入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5" w:line="224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卫生健康支出</w:t>
            </w:r>
          </w:p>
        </w:tc>
        <w:tc>
          <w:tcPr>
            <w:tcW w:w="1195" w:type="dxa"/>
            <w:vAlign w:val="top"/>
          </w:tcPr>
          <w:p>
            <w:pPr>
              <w:spacing w:before="170" w:line="185" w:lineRule="auto"/>
              <w:ind w:left="52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3.29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3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事业单位经营收入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7" w:line="23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房保障支出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6" w:lineRule="auto"/>
              <w:ind w:left="5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6.25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25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六、其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他收入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20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本 年 收 入 合 计</w:t>
            </w:r>
          </w:p>
        </w:tc>
        <w:tc>
          <w:tcPr>
            <w:tcW w:w="1190" w:type="dxa"/>
            <w:vAlign w:val="top"/>
          </w:tcPr>
          <w:p>
            <w:pPr>
              <w:spacing w:before="171" w:line="184" w:lineRule="auto"/>
              <w:ind w:left="207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2976" w:type="dxa"/>
            <w:vAlign w:val="top"/>
          </w:tcPr>
          <w:p>
            <w:pPr>
              <w:spacing w:before="137" w:line="220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 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支 出 合 计</w:t>
            </w:r>
          </w:p>
        </w:tc>
        <w:tc>
          <w:tcPr>
            <w:tcW w:w="1195" w:type="dxa"/>
            <w:vAlign w:val="top"/>
          </w:tcPr>
          <w:p>
            <w:pPr>
              <w:spacing w:before="171" w:line="184" w:lineRule="auto"/>
              <w:ind w:left="20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6" w:line="23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七、用事业基金</w:t>
            </w:r>
            <w:r>
              <w:rPr>
                <w:rFonts w:ascii="宋体" w:hAnsi="宋体" w:eastAsia="宋体" w:cs="宋体"/>
                <w:sz w:val="22"/>
                <w:szCs w:val="22"/>
              </w:rPr>
              <w:t>弥补收支差额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6" w:line="225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六、事业单位结余</w:t>
            </w:r>
            <w:r>
              <w:rPr>
                <w:rFonts w:ascii="宋体" w:hAnsi="宋体" w:eastAsia="宋体" w:cs="宋体"/>
                <w:sz w:val="22"/>
                <w:szCs w:val="22"/>
              </w:rPr>
              <w:t>分配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979" w:type="dxa"/>
            <w:vAlign w:val="top"/>
          </w:tcPr>
          <w:p>
            <w:pPr>
              <w:spacing w:before="137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八、上年结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转</w:t>
            </w:r>
          </w:p>
        </w:tc>
        <w:tc>
          <w:tcPr>
            <w:tcW w:w="1190" w:type="dxa"/>
            <w:vAlign w:val="top"/>
          </w:tcPr>
          <w:p>
            <w:pPr>
              <w:spacing w:before="172" w:line="185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137" w:line="222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其中：转入事业基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spacing w:before="221" w:line="232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七、结转下年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79" w:type="dxa"/>
            <w:vAlign w:val="top"/>
          </w:tcPr>
          <w:p>
            <w:pPr>
              <w:spacing w:before="138" w:line="221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90" w:type="dxa"/>
            <w:vAlign w:val="top"/>
          </w:tcPr>
          <w:p>
            <w:pPr>
              <w:spacing w:before="173" w:line="184" w:lineRule="auto"/>
              <w:ind w:left="207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2976" w:type="dxa"/>
            <w:vAlign w:val="top"/>
          </w:tcPr>
          <w:p>
            <w:pPr>
              <w:spacing w:before="138" w:line="222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95" w:type="dxa"/>
            <w:vAlign w:val="top"/>
          </w:tcPr>
          <w:p>
            <w:pPr>
              <w:spacing w:before="173" w:line="184" w:lineRule="auto"/>
              <w:ind w:left="20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780" w:bottom="856" w:left="1780" w:header="0" w:footer="572" w:gutter="0"/>
          <w:cols w:space="720" w:num="1"/>
        </w:sectPr>
      </w:pPr>
    </w:p>
    <w:p>
      <w:pPr>
        <w:spacing w:before="71" w:line="222" w:lineRule="auto"/>
        <w:ind w:right="36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1-1</w:t>
      </w:r>
    </w:p>
    <w:p/>
    <w:p/>
    <w:p/>
    <w:p>
      <w:pPr>
        <w:spacing w:line="74" w:lineRule="exact"/>
      </w:pPr>
    </w:p>
    <w:tbl>
      <w:tblPr>
        <w:tblStyle w:val="6"/>
        <w:tblW w:w="13992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996"/>
        <w:gridCol w:w="1319"/>
        <w:gridCol w:w="885"/>
        <w:gridCol w:w="1176"/>
        <w:gridCol w:w="955"/>
        <w:gridCol w:w="955"/>
        <w:gridCol w:w="954"/>
        <w:gridCol w:w="955"/>
        <w:gridCol w:w="955"/>
        <w:gridCol w:w="955"/>
        <w:gridCol w:w="955"/>
        <w:gridCol w:w="95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2977" w:type="dxa"/>
            <w:gridSpan w:val="2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11015" w:type="dxa"/>
            <w:gridSpan w:val="11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80" w:line="225" w:lineRule="auto"/>
              <w:ind w:left="30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位收入总表</w:t>
            </w:r>
          </w:p>
          <w:p>
            <w:pPr>
              <w:spacing w:before="149" w:line="221" w:lineRule="auto"/>
              <w:ind w:right="44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77" w:type="dxa"/>
            <w:gridSpan w:val="2"/>
            <w:shd w:val="clear" w:color="auto" w:fill="EFF2F7"/>
            <w:vAlign w:val="top"/>
          </w:tcPr>
          <w:p>
            <w:pPr>
              <w:spacing w:before="149" w:line="222" w:lineRule="auto"/>
              <w:ind w:left="10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2" w:line="282" w:lineRule="auto"/>
              <w:ind w:left="338" w:right="106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年结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4" w:right="32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府性基</w:t>
            </w:r>
          </w:p>
          <w:p>
            <w:pPr>
              <w:spacing w:before="56" w:line="22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金预算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</w:t>
            </w:r>
          </w:p>
          <w:p>
            <w:pPr>
              <w:spacing w:before="55" w:line="221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77" w:lineRule="auto"/>
              <w:ind w:left="45" w:right="31" w:firstLine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5" w:right="30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经营收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272" w:right="30" w:hanging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上级补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1" w:line="281" w:lineRule="auto"/>
              <w:ind w:left="47" w:right="29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5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用事业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</w:p>
          <w:p>
            <w:pPr>
              <w:spacing w:before="54" w:line="221" w:lineRule="auto"/>
              <w:ind w:left="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金弥补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</w:p>
          <w:p>
            <w:pPr>
              <w:spacing w:before="55" w:line="221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差额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81" w:type="dxa"/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996" w:type="dxa"/>
            <w:shd w:val="clear" w:color="auto" w:fill="EFF2F7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夹江县港航中心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1" w:type="dxa"/>
            <w:vAlign w:val="top"/>
          </w:tcPr>
          <w:p>
            <w:pPr>
              <w:spacing w:before="171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before="137" w:line="220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4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top"/>
          </w:tcPr>
          <w:p>
            <w:pPr>
              <w:spacing w:before="171" w:line="184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1" w:type="dxa"/>
            <w:vAlign w:val="top"/>
          </w:tcPr>
          <w:p>
            <w:pPr>
              <w:spacing w:before="171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6" w:type="dxa"/>
            <w:vAlign w:val="top"/>
          </w:tcPr>
          <w:p>
            <w:pPr>
              <w:spacing w:before="137" w:line="220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171" w:line="184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172" w:line="185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6" w:type="dxa"/>
            <w:vAlign w:val="top"/>
          </w:tcPr>
          <w:p>
            <w:pPr>
              <w:spacing w:before="171" w:line="184" w:lineRule="auto"/>
              <w:ind w:left="1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6"/>
          <w:pgMar w:top="1012" w:right="1420" w:bottom="856" w:left="1420" w:header="0" w:footer="57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181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单位公开表 1-2</w:t>
      </w:r>
    </w:p>
    <w:tbl>
      <w:tblPr>
        <w:tblStyle w:val="6"/>
        <w:tblW w:w="13992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283"/>
        <w:gridCol w:w="284"/>
        <w:gridCol w:w="1031"/>
        <w:gridCol w:w="4005"/>
        <w:gridCol w:w="1160"/>
        <w:gridCol w:w="1291"/>
        <w:gridCol w:w="1370"/>
        <w:gridCol w:w="1875"/>
        <w:gridCol w:w="228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gridSpan w:val="10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81" w:line="226" w:lineRule="auto"/>
              <w:ind w:left="60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位支出总表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015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116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2" w:line="221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015" w:type="dxa"/>
            <w:gridSpan w:val="5"/>
            <w:shd w:val="clear" w:color="auto" w:fill="EFF2F7"/>
            <w:vAlign w:val="top"/>
          </w:tcPr>
          <w:p>
            <w:pPr>
              <w:spacing w:before="105" w:line="222" w:lineRule="auto"/>
              <w:ind w:left="25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  <w:tc>
          <w:tcPr>
            <w:tcW w:w="187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上缴上级支出</w:t>
            </w:r>
          </w:p>
        </w:tc>
        <w:tc>
          <w:tcPr>
            <w:tcW w:w="228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附属单位补助支出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79" w:type="dxa"/>
            <w:gridSpan w:val="3"/>
            <w:shd w:val="clear" w:color="auto" w:fill="EFF2F7"/>
            <w:vAlign w:val="top"/>
          </w:tcPr>
          <w:p>
            <w:pPr>
              <w:spacing w:before="99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400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1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12" w:type="dxa"/>
            <w:shd w:val="clear" w:color="auto" w:fill="EFF2F7"/>
            <w:vAlign w:val="top"/>
          </w:tcPr>
          <w:p>
            <w:pPr>
              <w:spacing w:before="11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83" w:type="dxa"/>
            <w:shd w:val="clear" w:color="auto" w:fill="EFF2F7"/>
            <w:vAlign w:val="top"/>
          </w:tcPr>
          <w:p>
            <w:pPr>
              <w:spacing w:before="116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84" w:type="dxa"/>
            <w:shd w:val="clear" w:color="auto" w:fill="EFF2F7"/>
            <w:vAlign w:val="top"/>
          </w:tcPr>
          <w:p>
            <w:pPr>
              <w:spacing w:before="115" w:line="222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12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84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夹江县港航中心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1370" w:type="dxa"/>
            <w:vAlign w:val="top"/>
          </w:tcPr>
          <w:p>
            <w:pPr>
              <w:spacing w:before="135" w:line="207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培训支出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370" w:type="dxa"/>
            <w:vAlign w:val="top"/>
          </w:tcPr>
          <w:p>
            <w:pPr>
              <w:spacing w:before="135" w:line="185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1370" w:type="dxa"/>
            <w:vAlign w:val="top"/>
          </w:tcPr>
          <w:p>
            <w:pPr>
              <w:spacing w:before="106" w:line="205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公务员医疗补助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1370" w:type="dxa"/>
            <w:vAlign w:val="top"/>
          </w:tcPr>
          <w:p>
            <w:pPr>
              <w:spacing w:before="100" w:line="186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海事管理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</w:t>
            </w:r>
          </w:p>
        </w:tc>
        <w:tc>
          <w:tcPr>
            <w:tcW w:w="1370" w:type="dxa"/>
            <w:vAlign w:val="top"/>
          </w:tcPr>
          <w:p>
            <w:pPr>
              <w:spacing w:before="101" w:line="199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1370" w:type="dxa"/>
            <w:vAlign w:val="top"/>
          </w:tcPr>
          <w:p>
            <w:pPr>
              <w:spacing w:before="103" w:line="185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2" w:type="dxa"/>
            <w:vAlign w:val="top"/>
          </w:tcPr>
          <w:p>
            <w:pPr>
              <w:spacing w:before="128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28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27" w:line="186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27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93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28" w:line="187" w:lineRule="auto"/>
              <w:ind w:left="50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28" w:line="187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12" w:type="dxa"/>
            <w:vAlign w:val="top"/>
          </w:tcPr>
          <w:p>
            <w:pPr>
              <w:spacing w:before="119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19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19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18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84" w:line="220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18" w:line="186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18" w:line="186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12" w:type="dxa"/>
            <w:vAlign w:val="top"/>
          </w:tcPr>
          <w:p>
            <w:pPr>
              <w:spacing w:before="10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02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01" w:line="186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0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67" w:line="22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1" w:line="186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01" w:line="186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12" w:type="dxa"/>
            <w:vAlign w:val="top"/>
          </w:tcPr>
          <w:p>
            <w:pPr>
              <w:spacing w:before="15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1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2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17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2" w:line="185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2" w:line="185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12" w:type="dxa"/>
            <w:vAlign w:val="top"/>
          </w:tcPr>
          <w:p>
            <w:pPr>
              <w:spacing w:before="150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0" w:line="186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16" w:line="222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1" w:line="185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1" w:line="185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2" w:type="dxa"/>
            <w:vAlign w:val="top"/>
          </w:tcPr>
          <w:p>
            <w:pPr>
              <w:spacing w:before="157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3" w:type="dxa"/>
            <w:vAlign w:val="top"/>
          </w:tcPr>
          <w:p>
            <w:pPr>
              <w:spacing w:before="157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" w:type="dxa"/>
            <w:vAlign w:val="top"/>
          </w:tcPr>
          <w:p>
            <w:pPr>
              <w:spacing w:before="157" w:line="185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1" w:type="dxa"/>
            <w:vAlign w:val="top"/>
          </w:tcPr>
          <w:p>
            <w:pPr>
              <w:spacing w:before="156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5" w:type="dxa"/>
            <w:vAlign w:val="top"/>
          </w:tcPr>
          <w:p>
            <w:pPr>
              <w:spacing w:before="122" w:line="221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57" w:line="185" w:lineRule="auto"/>
              <w:ind w:left="49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1" w:type="dxa"/>
            <w:vAlign w:val="top"/>
          </w:tcPr>
          <w:p>
            <w:pPr>
              <w:spacing w:before="157" w:line="185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9" w:h="11906"/>
          <w:pgMar w:top="1012" w:right="1420" w:bottom="856" w:left="1420" w:header="0" w:footer="575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38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单</w:t>
      </w:r>
      <w:r>
        <w:rPr>
          <w:rFonts w:ascii="宋体" w:hAnsi="宋体" w:eastAsia="宋体" w:cs="宋体"/>
          <w:spacing w:val="-7"/>
          <w:sz w:val="22"/>
          <w:szCs w:val="22"/>
        </w:rPr>
        <w:t>位公开表 2</w:t>
      </w:r>
    </w:p>
    <w:tbl>
      <w:tblPr>
        <w:tblStyle w:val="6"/>
        <w:tblW w:w="13992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5"/>
        <w:gridCol w:w="1112"/>
        <w:gridCol w:w="3575"/>
        <w:gridCol w:w="1112"/>
        <w:gridCol w:w="1477"/>
        <w:gridCol w:w="1718"/>
        <w:gridCol w:w="1963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92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80" w:line="227" w:lineRule="auto"/>
              <w:ind w:left="540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黑体" w:hAnsi="黑体" w:eastAsia="黑体" w:cs="黑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政拨款收支预算总表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147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7882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2" w:line="221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47" w:type="dxa"/>
            <w:gridSpan w:val="2"/>
            <w:shd w:val="clear" w:color="auto" w:fill="EFF2F7"/>
            <w:vAlign w:val="top"/>
          </w:tcPr>
          <w:p>
            <w:pPr>
              <w:spacing w:before="149" w:line="221" w:lineRule="auto"/>
              <w:ind w:left="1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</w:t>
            </w:r>
          </w:p>
        </w:tc>
        <w:tc>
          <w:tcPr>
            <w:tcW w:w="9845" w:type="dxa"/>
            <w:gridSpan w:val="5"/>
            <w:shd w:val="clear" w:color="auto" w:fill="EFF2F7"/>
            <w:vAlign w:val="top"/>
          </w:tcPr>
          <w:p>
            <w:pPr>
              <w:spacing w:before="148" w:line="222" w:lineRule="auto"/>
              <w:ind w:left="44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035" w:type="dxa"/>
            <w:shd w:val="clear" w:color="auto" w:fill="EFF2F7"/>
            <w:vAlign w:val="top"/>
          </w:tcPr>
          <w:p>
            <w:pPr>
              <w:spacing w:before="150" w:line="222" w:lineRule="auto"/>
              <w:ind w:left="10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12" w:type="dxa"/>
            <w:shd w:val="clear" w:color="auto" w:fill="EFF2F7"/>
            <w:vAlign w:val="top"/>
          </w:tcPr>
          <w:p>
            <w:pPr>
              <w:spacing w:before="150" w:line="221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3575" w:type="dxa"/>
            <w:shd w:val="clear" w:color="auto" w:fill="EFF2F7"/>
            <w:vAlign w:val="top"/>
          </w:tcPr>
          <w:p>
            <w:pPr>
              <w:spacing w:before="150" w:line="222" w:lineRule="auto"/>
              <w:ind w:left="1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12" w:type="dxa"/>
            <w:shd w:val="clear" w:color="auto" w:fill="EFF2F7"/>
            <w:vAlign w:val="top"/>
          </w:tcPr>
          <w:p>
            <w:pPr>
              <w:spacing w:before="151" w:line="222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477" w:type="dxa"/>
            <w:shd w:val="clear" w:color="auto" w:fill="EFF2F7"/>
            <w:vAlign w:val="top"/>
          </w:tcPr>
          <w:p>
            <w:pPr>
              <w:spacing w:before="150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公共预算</w:t>
            </w:r>
          </w:p>
        </w:tc>
        <w:tc>
          <w:tcPr>
            <w:tcW w:w="1718" w:type="dxa"/>
            <w:shd w:val="clear" w:color="auto" w:fill="EFF2F7"/>
            <w:vAlign w:val="top"/>
          </w:tcPr>
          <w:p>
            <w:pPr>
              <w:spacing w:before="151" w:line="220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性基金预算</w:t>
            </w:r>
          </w:p>
        </w:tc>
        <w:tc>
          <w:tcPr>
            <w:tcW w:w="1963" w:type="dxa"/>
            <w:shd w:val="clear" w:color="auto" w:fill="EFF2F7"/>
            <w:vAlign w:val="top"/>
          </w:tcPr>
          <w:p>
            <w:pPr>
              <w:spacing w:before="151" w:line="220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国有资本经营预算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一、本年收入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一、本年支出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一般公共预算拨款收入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61.53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教育支出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7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社会保障和就业支出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6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卫生健康支出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5" w:line="292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spacing w:before="170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交通运输支出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45.93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6" w:line="221" w:lineRule="auto"/>
              <w:ind w:left="1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spacing w:before="171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住房保障支出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035" w:type="dxa"/>
            <w:vAlign w:val="top"/>
          </w:tcPr>
          <w:p>
            <w:pPr>
              <w:spacing w:before="135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spacing w:before="138" w:line="220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9" w:h="11906"/>
          <w:pgMar w:top="1012" w:right="1420" w:bottom="856" w:left="1420" w:header="0" w:footer="57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1" w:line="212" w:lineRule="auto"/>
        <w:ind w:right="347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2-1</w:t>
      </w:r>
    </w:p>
    <w:tbl>
      <w:tblPr>
        <w:tblStyle w:val="6"/>
        <w:tblW w:w="13992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420"/>
        <w:gridCol w:w="390"/>
        <w:gridCol w:w="733"/>
        <w:gridCol w:w="870"/>
        <w:gridCol w:w="2056"/>
        <w:gridCol w:w="1109"/>
        <w:gridCol w:w="1064"/>
        <w:gridCol w:w="1034"/>
        <w:gridCol w:w="960"/>
        <w:gridCol w:w="990"/>
        <w:gridCol w:w="855"/>
        <w:gridCol w:w="771"/>
        <w:gridCol w:w="983"/>
        <w:gridCol w:w="969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</w:tblPrEx>
        <w:trPr>
          <w:trHeight w:val="981" w:hRule="atLeast"/>
          <w:tblHeader/>
        </w:trPr>
        <w:tc>
          <w:tcPr>
            <w:tcW w:w="3201" w:type="dxa"/>
            <w:gridSpan w:val="5"/>
            <w:tcBorders>
              <w:top w:val="single" w:color="FFFFFF" w:sz="2" w:space="0"/>
              <w:left w:val="single" w:color="FFFFFF" w:sz="2" w:space="0"/>
              <w:right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10791" w:type="dxa"/>
            <w:gridSpan w:val="10"/>
            <w:tcBorders>
              <w:top w:val="single" w:color="FFFFFF" w:sz="2" w:space="0"/>
              <w:left w:val="nil"/>
              <w:right w:val="single" w:color="FFFFFF" w:sz="2" w:space="0"/>
            </w:tcBorders>
            <w:vAlign w:val="top"/>
          </w:tcPr>
          <w:p>
            <w:pPr>
              <w:spacing w:before="180" w:line="225" w:lineRule="auto"/>
              <w:ind w:left="75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政拨款支出预算表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(部门经济分类科目)</w:t>
            </w:r>
          </w:p>
          <w:p>
            <w:pPr>
              <w:spacing w:before="148" w:line="221" w:lineRule="auto"/>
              <w:ind w:right="33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7" w:type="dxa"/>
            <w:gridSpan w:val="6"/>
            <w:shd w:val="clear" w:color="auto" w:fill="EFF2F7"/>
            <w:vAlign w:val="top"/>
          </w:tcPr>
          <w:p>
            <w:pPr>
              <w:spacing w:before="147" w:line="222" w:lineRule="auto"/>
              <w:ind w:left="2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048" w:type="dxa"/>
            <w:gridSpan w:val="4"/>
            <w:shd w:val="clear" w:color="auto" w:fill="EFF2F7"/>
            <w:vAlign w:val="top"/>
          </w:tcPr>
          <w:p>
            <w:pPr>
              <w:spacing w:before="147" w:line="221" w:lineRule="auto"/>
              <w:ind w:left="9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省级当年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财政拨款安排</w:t>
            </w:r>
          </w:p>
        </w:tc>
        <w:tc>
          <w:tcPr>
            <w:tcW w:w="3578" w:type="dxa"/>
            <w:gridSpan w:val="4"/>
            <w:shd w:val="clear" w:color="auto" w:fill="EFF2F7"/>
            <w:vAlign w:val="top"/>
          </w:tcPr>
          <w:p>
            <w:pPr>
              <w:spacing w:before="147" w:line="221" w:lineRule="auto"/>
              <w:ind w:left="1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上年结转安排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8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shd w:val="clear" w:color="auto" w:fill="EFF2F7"/>
            <w:vAlign w:val="top"/>
          </w:tcPr>
          <w:p>
            <w:pPr>
              <w:spacing w:before="65" w:line="246" w:lineRule="auto"/>
              <w:ind w:left="297" w:right="70" w:hanging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73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83" w:lineRule="auto"/>
              <w:ind w:left="260" w:right="33" w:hanging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位代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926" w:type="dxa"/>
            <w:gridSpan w:val="2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5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984" w:type="dxa"/>
            <w:gridSpan w:val="3"/>
            <w:shd w:val="clear" w:color="auto" w:fill="EFF2F7"/>
            <w:vAlign w:val="top"/>
          </w:tcPr>
          <w:p>
            <w:pPr>
              <w:spacing w:before="222" w:line="221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2723" w:type="dxa"/>
            <w:gridSpan w:val="3"/>
            <w:shd w:val="clear" w:color="auto" w:fill="EFF2F7"/>
            <w:vAlign w:val="top"/>
          </w:tcPr>
          <w:p>
            <w:pPr>
              <w:spacing w:before="222" w:line="221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一般公共预算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拨款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shd w:val="clear" w:color="auto" w:fill="EFF2F7"/>
            <w:vAlign w:val="top"/>
          </w:tcPr>
          <w:p>
            <w:pPr>
              <w:spacing w:before="148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90" w:type="dxa"/>
            <w:shd w:val="clear" w:color="auto" w:fill="EFF2F7"/>
            <w:vAlign w:val="top"/>
          </w:tcPr>
          <w:p>
            <w:pPr>
              <w:spacing w:before="149" w:line="22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shd w:val="clear" w:color="auto" w:fill="EFF2F7"/>
            <w:vAlign w:val="top"/>
          </w:tcPr>
          <w:p>
            <w:pPr>
              <w:spacing w:before="149" w:line="222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60" w:type="dxa"/>
            <w:shd w:val="clear" w:color="auto" w:fill="EFF2F7"/>
            <w:vAlign w:val="top"/>
          </w:tcPr>
          <w:p>
            <w:pPr>
              <w:spacing w:before="149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990" w:type="dxa"/>
            <w:shd w:val="clear" w:color="auto" w:fill="EFF2F7"/>
            <w:vAlign w:val="top"/>
          </w:tcPr>
          <w:p>
            <w:pPr>
              <w:spacing w:before="148" w:line="222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shd w:val="clear" w:color="auto" w:fill="EFF2F7"/>
            <w:vAlign w:val="top"/>
          </w:tcPr>
          <w:p>
            <w:pPr>
              <w:spacing w:before="149" w:line="222" w:lineRule="auto"/>
              <w:ind w:lef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83" w:type="dxa"/>
            <w:shd w:val="clear" w:color="auto" w:fill="EFF2F7"/>
            <w:vAlign w:val="top"/>
          </w:tcPr>
          <w:p>
            <w:pPr>
              <w:spacing w:before="149" w:line="220" w:lineRule="auto"/>
              <w:ind w:left="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969" w:type="dxa"/>
            <w:shd w:val="clear" w:color="auto" w:fill="EFF2F7"/>
            <w:vAlign w:val="top"/>
          </w:tcPr>
          <w:p>
            <w:pPr>
              <w:spacing w:before="148" w:line="222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6" w:type="dxa"/>
            <w:gridSpan w:val="2"/>
            <w:vAlign w:val="top"/>
          </w:tcPr>
          <w:p>
            <w:pPr>
              <w:spacing w:before="135" w:line="222" w:lineRule="auto"/>
              <w:ind w:left="10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09" w:type="dxa"/>
            <w:vAlign w:val="top"/>
          </w:tcPr>
          <w:p>
            <w:pPr>
              <w:spacing w:before="169" w:line="184" w:lineRule="auto"/>
              <w:ind w:left="127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1064" w:type="dxa"/>
            <w:vAlign w:val="top"/>
          </w:tcPr>
          <w:p>
            <w:pPr>
              <w:spacing w:before="169" w:line="184" w:lineRule="auto"/>
              <w:ind w:left="8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1034" w:type="dxa"/>
            <w:vAlign w:val="top"/>
          </w:tcPr>
          <w:p>
            <w:pPr>
              <w:spacing w:before="169" w:line="184" w:lineRule="auto"/>
              <w:ind w:left="54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960" w:type="dxa"/>
            <w:vAlign w:val="top"/>
          </w:tcPr>
          <w:p>
            <w:pPr>
              <w:spacing w:before="169" w:line="207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spacing w:before="170" w:line="208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70" w:line="185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dxa"/>
            <w:vAlign w:val="top"/>
          </w:tcPr>
          <w:p>
            <w:pPr>
              <w:spacing w:before="170" w:line="18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before="170" w:line="185" w:lineRule="auto"/>
              <w:ind w:left="3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8" w:type="dxa"/>
            <w:vAlign w:val="top"/>
          </w:tcPr>
          <w:p>
            <w:pPr>
              <w:spacing w:before="168" w:line="186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68" w:line="186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夹江县港航中心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61.53</w:t>
            </w:r>
          </w:p>
        </w:tc>
        <w:tc>
          <w:tcPr>
            <w:tcW w:w="960" w:type="dxa"/>
            <w:vAlign w:val="top"/>
          </w:tcPr>
          <w:p>
            <w:pPr>
              <w:spacing w:before="167" w:line="209" w:lineRule="auto"/>
              <w:ind w:left="7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88" w:type="dxa"/>
            <w:vAlign w:val="top"/>
          </w:tcPr>
          <w:p>
            <w:pPr>
              <w:spacing w:before="152" w:line="186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152" w:line="186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52" w:line="18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152" w:line="186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960" w:type="dxa"/>
            <w:vAlign w:val="top"/>
          </w:tcPr>
          <w:p>
            <w:pPr>
              <w:spacing w:before="152" w:line="20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88" w:type="dxa"/>
            <w:vAlign w:val="top"/>
          </w:tcPr>
          <w:p>
            <w:pPr>
              <w:spacing w:before="148" w:line="186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148" w:line="186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149" w:line="185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148" w:line="186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基本工资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17.82</w:t>
            </w:r>
          </w:p>
        </w:tc>
        <w:tc>
          <w:tcPr>
            <w:tcW w:w="960" w:type="dxa"/>
            <w:vAlign w:val="top"/>
          </w:tcPr>
          <w:p>
            <w:pPr>
              <w:spacing w:before="148" w:line="20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88" w:type="dxa"/>
            <w:vAlign w:val="top"/>
          </w:tcPr>
          <w:p>
            <w:pPr>
              <w:spacing w:before="98" w:line="187" w:lineRule="auto"/>
              <w:ind w:left="3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59" w:line="186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60" w:line="185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59" w:line="186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13.07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13.07</w:t>
            </w:r>
          </w:p>
        </w:tc>
        <w:tc>
          <w:tcPr>
            <w:tcW w:w="960" w:type="dxa"/>
            <w:vAlign w:val="top"/>
          </w:tcPr>
          <w:p>
            <w:pPr>
              <w:spacing w:before="260" w:line="185" w:lineRule="auto"/>
              <w:ind w:left="4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88" w:type="dxa"/>
            <w:vAlign w:val="top"/>
          </w:tcPr>
          <w:p>
            <w:pPr>
              <w:spacing w:before="98" w:line="187" w:lineRule="auto"/>
              <w:ind w:left="2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地方津贴补贴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960" w:type="dxa"/>
            <w:vAlign w:val="top"/>
          </w:tcPr>
          <w:p>
            <w:pPr>
              <w:spacing w:before="259" w:line="209" w:lineRule="auto"/>
              <w:ind w:left="88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788" w:type="dxa"/>
            <w:vAlign w:val="top"/>
          </w:tcPr>
          <w:p>
            <w:pPr>
              <w:spacing w:before="98" w:line="185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其他津贴补贴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960" w:type="dxa"/>
            <w:vAlign w:val="top"/>
          </w:tcPr>
          <w:p>
            <w:pPr>
              <w:spacing w:before="261" w:line="185" w:lineRule="auto"/>
              <w:ind w:left="29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ind w:left="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奖金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年终一次性奖金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机关事业单位基本养老保险缴费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职工基本医疗保险缴费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工伤保险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生育保险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住房公积金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商品和服务支出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办公费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邮电费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差旅费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培训费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工会经费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福利费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公务用车运行维护费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其他交通费用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对个人和家庭的补助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生活补助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医疗费补助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88" w:type="dxa"/>
            <w:vAlign w:val="top"/>
          </w:tcPr>
          <w:p>
            <w:pPr>
              <w:spacing w:before="232" w:line="186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20" w:type="dxa"/>
            <w:vAlign w:val="top"/>
          </w:tcPr>
          <w:p>
            <w:pPr>
              <w:spacing w:before="232" w:line="18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90" w:type="dxa"/>
            <w:vAlign w:val="top"/>
          </w:tcPr>
          <w:p>
            <w:pPr>
              <w:spacing w:before="233" w:line="185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3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奖励金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960" w:type="dxa"/>
            <w:vAlign w:val="top"/>
          </w:tcPr>
          <w:p>
            <w:pPr>
              <w:spacing w:before="232" w:line="186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>
      <w:pPr>
        <w:spacing w:line="66" w:lineRule="exact"/>
      </w:pPr>
    </w:p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9" w:h="11906"/>
          <w:pgMar w:top="1012" w:right="1420" w:bottom="856" w:left="1420" w:header="0" w:footer="5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4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3</w:t>
      </w:r>
    </w:p>
    <w:tbl>
      <w:tblPr>
        <w:tblStyle w:val="6"/>
        <w:tblW w:w="8659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300"/>
        <w:gridCol w:w="255"/>
        <w:gridCol w:w="2007"/>
        <w:gridCol w:w="2387"/>
        <w:gridCol w:w="1713"/>
        <w:gridCol w:w="1575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</w:tblPrEx>
        <w:trPr>
          <w:trHeight w:val="648" w:hRule="atLeast"/>
        </w:trPr>
        <w:tc>
          <w:tcPr>
            <w:tcW w:w="8659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4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984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238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984" w:type="dxa"/>
            <w:gridSpan w:val="4"/>
            <w:shd w:val="clear" w:color="auto" w:fill="EFF2F7"/>
            <w:vAlign w:val="top"/>
          </w:tcPr>
          <w:p>
            <w:pPr>
              <w:spacing w:before="149" w:line="222" w:lineRule="auto"/>
              <w:ind w:left="1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337" w:right="102" w:hanging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财政拨</w:t>
            </w:r>
          </w:p>
          <w:p>
            <w:pPr>
              <w:spacing w:before="71" w:line="276" w:lineRule="auto"/>
              <w:ind w:left="337" w:right="102" w:hanging="20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安排</w: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上年结转安排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77" w:type="dxa"/>
            <w:gridSpan w:val="3"/>
            <w:shd w:val="clear" w:color="auto" w:fill="EFF2F7"/>
            <w:vAlign w:val="top"/>
          </w:tcPr>
          <w:p>
            <w:pPr>
              <w:spacing w:before="151" w:line="220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2" w:type="dxa"/>
            <w:shd w:val="clear" w:color="auto" w:fill="EFF2F7"/>
            <w:vAlign w:val="top"/>
          </w:tcPr>
          <w:p>
            <w:pPr>
              <w:spacing w:before="1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00" w:type="dxa"/>
            <w:shd w:val="clear" w:color="auto" w:fill="EFF2F7"/>
            <w:vAlign w:val="top"/>
          </w:tcPr>
          <w:p>
            <w:pPr>
              <w:spacing w:before="153" w:line="222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55" w:type="dxa"/>
            <w:shd w:val="clear" w:color="auto" w:fill="EFF2F7"/>
            <w:vAlign w:val="top"/>
          </w:tcPr>
          <w:p>
            <w:pPr>
              <w:spacing w:before="15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87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387" w:type="dxa"/>
            <w:vAlign w:val="top"/>
          </w:tcPr>
          <w:p>
            <w:pPr>
              <w:spacing w:before="121" w:line="184" w:lineRule="auto"/>
              <w:ind w:left="1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21" w:line="184" w:lineRule="auto"/>
              <w:ind w:left="33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1575" w:type="dxa"/>
            <w:vAlign w:val="top"/>
          </w:tcPr>
          <w:p>
            <w:pPr>
              <w:spacing w:before="122" w:line="185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center"/>
          </w:tcPr>
          <w:p>
            <w:pPr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255" w:type="dxa"/>
            <w:vAlign w:val="center"/>
          </w:tcPr>
          <w:p>
            <w:pPr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夹江县港航中心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61.53</w:t>
            </w:r>
          </w:p>
        </w:tc>
        <w:tc>
          <w:tcPr>
            <w:tcW w:w="1575" w:type="dxa"/>
            <w:vAlign w:val="top"/>
          </w:tcPr>
          <w:p>
            <w:pPr>
              <w:spacing w:before="137" w:line="185" w:lineRule="auto"/>
              <w:ind w:left="908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培训支出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575" w:type="dxa"/>
            <w:vAlign w:val="top"/>
          </w:tcPr>
          <w:p>
            <w:pPr>
              <w:spacing w:before="158" w:line="185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机关事业单位基本养老保险缴费支出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1575" w:type="dxa"/>
            <w:vAlign w:val="top"/>
          </w:tcPr>
          <w:p>
            <w:pPr>
              <w:spacing w:before="150" w:line="185" w:lineRule="auto"/>
              <w:ind w:left="905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行政单位医疗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</w:t>
            </w:r>
          </w:p>
        </w:tc>
        <w:tc>
          <w:tcPr>
            <w:tcW w:w="1575" w:type="dxa"/>
            <w:vAlign w:val="top"/>
          </w:tcPr>
          <w:p>
            <w:pPr>
              <w:spacing w:before="121" w:line="186" w:lineRule="auto"/>
              <w:ind w:left="9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公务员医疗补助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海事管理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45.93</w:t>
            </w:r>
          </w:p>
        </w:tc>
        <w:tc>
          <w:tcPr>
            <w:tcW w:w="1575" w:type="dxa"/>
            <w:vAlign w:val="top"/>
          </w:tcPr>
          <w:p>
            <w:pPr>
              <w:spacing w:before="152" w:line="187" w:lineRule="auto"/>
              <w:ind w:righ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住房公积金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2" w:type="dxa"/>
            <w:vAlign w:val="top"/>
          </w:tcPr>
          <w:p>
            <w:pPr>
              <w:spacing w:before="122" w:line="186" w:lineRule="auto"/>
              <w:ind w:left="2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23" w:line="185" w:lineRule="auto"/>
              <w:ind w:left="2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23" w:line="185" w:lineRule="auto"/>
              <w:ind w:left="1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88" w:line="221" w:lineRule="auto"/>
              <w:ind w:left="24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23" w:line="208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22" w:line="209" w:lineRule="auto"/>
              <w:ind w:left="43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before="122" w:line="186" w:lineRule="auto"/>
              <w:ind w:left="923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0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6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6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7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7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22" w:type="dxa"/>
            <w:vAlign w:val="top"/>
          </w:tcPr>
          <w:p>
            <w:pPr>
              <w:spacing w:before="146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6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6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11" w:line="222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46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46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3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8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8" w:line="185" w:lineRule="auto"/>
              <w:ind w:left="6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36" w:line="221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71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71" w:line="185" w:lineRule="auto"/>
              <w:ind w:left="65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spacing w:before="172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1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37" w:line="221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71" w:line="187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71" w:line="187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22" w:type="dxa"/>
            <w:vAlign w:val="top"/>
          </w:tcPr>
          <w:p>
            <w:pPr>
              <w:spacing w:before="255" w:line="185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255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255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63" w:line="242" w:lineRule="auto"/>
              <w:ind w:left="19" w:right="25" w:firstLine="21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254" w:line="186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254" w:line="186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9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0" w:line="185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0" w:line="185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95" w:line="222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0" w:line="185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0" w:line="185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2" w:type="dxa"/>
            <w:vAlign w:val="top"/>
          </w:tcPr>
          <w:p>
            <w:pPr>
              <w:spacing w:before="144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4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4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9" w:line="222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44" w:line="186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44" w:line="186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22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7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37" w:line="221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72" w:line="185" w:lineRule="auto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72" w:line="185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3" w:line="221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37" w:line="186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37" w:line="186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9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29" w:line="186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29" w:line="186" w:lineRule="auto"/>
              <w:ind w:left="65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22" w:type="dxa"/>
            <w:vAlign w:val="top"/>
          </w:tcPr>
          <w:p>
            <w:pPr>
              <w:spacing w:before="144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44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43" w:line="18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09" w:line="222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44" w:line="185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44" w:line="185" w:lineRule="auto"/>
              <w:ind w:left="65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2" w:type="dxa"/>
            <w:vAlign w:val="top"/>
          </w:tcPr>
          <w:p>
            <w:pPr>
              <w:spacing w:before="171" w:line="187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137" w:line="221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87" w:type="dxa"/>
            <w:vAlign w:val="top"/>
          </w:tcPr>
          <w:p>
            <w:pPr>
              <w:spacing w:before="172" w:line="185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3" w:type="dxa"/>
            <w:vAlign w:val="top"/>
          </w:tcPr>
          <w:p>
            <w:pPr>
              <w:spacing w:before="172" w:line="185" w:lineRule="auto"/>
              <w:ind w:left="65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9"/>
          <w:pgMar w:top="1431" w:right="1780" w:bottom="856" w:left="1780" w:header="0" w:footer="575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14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公开表 3-1</w:t>
      </w:r>
    </w:p>
    <w:tbl>
      <w:tblPr>
        <w:tblStyle w:val="6"/>
        <w:tblW w:w="8340" w:type="dxa"/>
        <w:tblInd w:w="2" w:type="dxa"/>
        <w:tblBorders>
          <w:top w:val="single" w:color="C0C0C0" w:sz="2" w:space="0"/>
          <w:left w:val="single" w:color="C0C0C0" w:sz="2" w:space="0"/>
          <w:bottom w:val="single" w:color="C0C0C0" w:sz="2" w:space="0"/>
          <w:right w:val="single" w:color="C0C0C0" w:sz="2" w:space="0"/>
          <w:insideH w:val="single" w:color="C0C0C0" w:sz="2" w:space="0"/>
          <w:insideV w:val="single" w:color="C0C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261"/>
        <w:gridCol w:w="946"/>
        <w:gridCol w:w="3223"/>
        <w:gridCol w:w="950"/>
        <w:gridCol w:w="949"/>
        <w:gridCol w:w="1633"/>
      </w:tblGrid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7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09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般公共预算基本支出预算表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808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95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808" w:type="dxa"/>
            <w:gridSpan w:val="4"/>
            <w:shd w:val="clear" w:color="auto" w:fill="EFF2F7"/>
            <w:vAlign w:val="top"/>
          </w:tcPr>
          <w:p>
            <w:pPr>
              <w:spacing w:before="149" w:line="222" w:lineRule="auto"/>
              <w:ind w:left="19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532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1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39" w:type="dxa"/>
            <w:gridSpan w:val="2"/>
            <w:shd w:val="clear" w:color="auto" w:fill="EFF2F7"/>
            <w:vAlign w:val="top"/>
          </w:tcPr>
          <w:p>
            <w:pPr>
              <w:spacing w:before="63" w:line="241" w:lineRule="auto"/>
              <w:ind w:left="106" w:right="9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94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322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用经费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78" w:type="dxa"/>
            <w:shd w:val="clear" w:color="auto" w:fill="EFF2F7"/>
            <w:vAlign w:val="top"/>
          </w:tcPr>
          <w:p>
            <w:pPr>
              <w:spacing w:before="151" w:line="22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61" w:type="dxa"/>
            <w:shd w:val="clear" w:color="auto" w:fill="EFF2F7"/>
            <w:vAlign w:val="top"/>
          </w:tcPr>
          <w:p>
            <w:pPr>
              <w:spacing w:before="151" w:line="222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136" w:line="222" w:lineRule="auto"/>
              <w:ind w:left="1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50" w:type="dxa"/>
            <w:vAlign w:val="top"/>
          </w:tcPr>
          <w:p>
            <w:pPr>
              <w:spacing w:before="170" w:line="207" w:lineRule="auto"/>
              <w:ind w:left="6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61.53</w:t>
            </w:r>
          </w:p>
        </w:tc>
        <w:tc>
          <w:tcPr>
            <w:tcW w:w="949" w:type="dxa"/>
            <w:vAlign w:val="top"/>
          </w:tcPr>
          <w:p>
            <w:pPr>
              <w:spacing w:before="170" w:line="207" w:lineRule="auto"/>
              <w:ind w:left="6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50.17</w:t>
            </w:r>
          </w:p>
        </w:tc>
        <w:tc>
          <w:tcPr>
            <w:tcW w:w="1633" w:type="dxa"/>
            <w:vAlign w:val="top"/>
          </w:tcPr>
          <w:p>
            <w:pPr>
              <w:spacing w:before="169" w:line="209" w:lineRule="auto"/>
              <w:ind w:left="75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11.36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512007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夹江县港航中心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61.53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50.17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工资福利支出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46.67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17.82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17.82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13.07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13.07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地方津贴补贴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3010299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其他津贴补贴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3010301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年终一次性奖金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30108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30110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工伤保险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3011204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生育保险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3011299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其他社会保障缴费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商品和服务支出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30207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30216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30228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30231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949" w:type="dxa"/>
            <w:vAlign w:val="center"/>
          </w:tcPr>
          <w:p>
            <w:pPr>
              <w:jc w:val="right"/>
              <w:rPr>
                <w:rFonts w:ascii="Arial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对个人和家庭的补助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30305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30307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C0C0C0" w:sz="2" w:space="0"/>
            <w:left w:val="single" w:color="C0C0C0" w:sz="2" w:space="0"/>
            <w:bottom w:val="single" w:color="C0C0C0" w:sz="2" w:space="0"/>
            <w:right w:val="single" w:color="C0C0C0" w:sz="2" w:space="0"/>
            <w:insideH w:val="single" w:color="C0C0C0" w:sz="2" w:space="0"/>
            <w:insideV w:val="single" w:color="C0C0C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30309</w:t>
            </w:r>
          </w:p>
        </w:tc>
        <w:tc>
          <w:tcPr>
            <w:tcW w:w="3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633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1780" w:bottom="856" w:left="1780" w:header="0" w:footer="57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3-2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81"/>
        <w:gridCol w:w="281"/>
        <w:gridCol w:w="1022"/>
        <w:gridCol w:w="4588"/>
        <w:gridCol w:w="176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6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4" w:line="474" w:lineRule="exact"/>
              <w:ind w:left="209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般公共预算项目支出预算表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579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176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69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02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4588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7" w:type="dxa"/>
            <w:shd w:val="clear" w:color="auto" w:fill="EFF2F7"/>
            <w:vAlign w:val="top"/>
          </w:tcPr>
          <w:p>
            <w:pPr>
              <w:spacing w:before="1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281" w:type="dxa"/>
            <w:shd w:val="clear" w:color="auto" w:fill="EFF2F7"/>
            <w:vAlign w:val="top"/>
          </w:tcPr>
          <w:p>
            <w:pPr>
              <w:spacing w:before="151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281" w:type="dxa"/>
            <w:shd w:val="clear" w:color="auto" w:fill="EFF2F7"/>
            <w:vAlign w:val="top"/>
          </w:tcPr>
          <w:p>
            <w:pPr>
              <w:spacing w:before="150" w:line="222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2" w:lineRule="auto"/>
              <w:ind w:left="18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61" w:type="dxa"/>
            <w:vAlign w:val="top"/>
          </w:tcPr>
          <w:p>
            <w:pPr>
              <w:spacing w:before="170" w:line="207" w:lineRule="auto"/>
              <w:ind w:left="87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5" w:line="22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209" w:lineRule="auto"/>
              <w:ind w:left="886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2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0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1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19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0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0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6" w:line="221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5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69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5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1" w:line="186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1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1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7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6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07" w:type="dxa"/>
            <w:vAlign w:val="top"/>
          </w:tcPr>
          <w:p>
            <w:pPr>
              <w:spacing w:before="171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2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1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7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2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07" w:type="dxa"/>
            <w:vAlign w:val="top"/>
          </w:tcPr>
          <w:p>
            <w:pPr>
              <w:spacing w:before="172" w:line="186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1" w:type="dxa"/>
            <w:vAlign w:val="top"/>
          </w:tcPr>
          <w:p>
            <w:pPr>
              <w:spacing w:before="173" w:line="18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2" w:type="dxa"/>
            <w:vAlign w:val="top"/>
          </w:tcPr>
          <w:p>
            <w:pPr>
              <w:spacing w:before="172" w:line="18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88" w:type="dxa"/>
            <w:vAlign w:val="top"/>
          </w:tcPr>
          <w:p>
            <w:pPr>
              <w:spacing w:before="138" w:line="220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61" w:type="dxa"/>
            <w:vAlign w:val="top"/>
          </w:tcPr>
          <w:p>
            <w:pPr>
              <w:spacing w:before="173" w:line="185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sectPr>
          <w:footerReference r:id="rId14" w:type="default"/>
          <w:pgSz w:w="11906" w:h="16839"/>
          <w:pgMar w:top="1431" w:right="1780" w:bottom="855" w:left="1780" w:header="0" w:footer="575" w:gutter="0"/>
          <w:cols w:space="720" w:num="1"/>
        </w:sect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28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公开表 3-3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431"/>
        <w:gridCol w:w="763"/>
        <w:gridCol w:w="959"/>
        <w:gridCol w:w="795"/>
        <w:gridCol w:w="1244"/>
        <w:gridCol w:w="1229"/>
        <w:gridCol w:w="1187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nil"/>
              <w:right w:val="single" w:color="FFFFFF" w:sz="2" w:space="0"/>
            </w:tcBorders>
            <w:vAlign w:val="top"/>
          </w:tcPr>
          <w:p>
            <w:pPr>
              <w:spacing w:before="174" w:line="417" w:lineRule="exact"/>
              <w:ind w:left="14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position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10"/>
                <w:position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般公共预算“三公”经费支出预算表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926" w:type="dxa"/>
            <w:gridSpan w:val="3"/>
            <w:tcBorders>
              <w:top w:val="nil"/>
              <w:left w:val="single" w:color="FFFFFF" w:sz="2" w:space="0"/>
              <w:right w:val="nil"/>
            </w:tcBorders>
            <w:vAlign w:val="top"/>
          </w:tcPr>
          <w:p>
            <w:pPr>
              <w:spacing w:before="98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5414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>
            <w:pPr>
              <w:spacing w:before="98" w:line="221" w:lineRule="auto"/>
              <w:ind w:right="17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262" w:right="30" w:hanging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4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543" w:right="50" w:hanging="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目)</w:t>
            </w:r>
          </w:p>
        </w:tc>
        <w:tc>
          <w:tcPr>
            <w:tcW w:w="6177" w:type="dxa"/>
            <w:gridSpan w:val="6"/>
            <w:shd w:val="clear" w:color="auto" w:fill="EFF2F7"/>
            <w:vAlign w:val="top"/>
          </w:tcPr>
          <w:p>
            <w:pPr>
              <w:spacing w:before="150" w:line="221" w:lineRule="auto"/>
              <w:ind w:left="2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当年财政拨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款预算安排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before="163" w:line="224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公出国</w:t>
            </w:r>
          </w:p>
          <w:p>
            <w:pPr>
              <w:spacing w:before="44" w:line="22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境)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  <w:p>
            <w:pPr>
              <w:spacing w:before="48" w:line="222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</w:t>
            </w:r>
          </w:p>
        </w:tc>
        <w:tc>
          <w:tcPr>
            <w:tcW w:w="3268" w:type="dxa"/>
            <w:gridSpan w:val="3"/>
            <w:shd w:val="clear" w:color="auto" w:fill="EFF2F7"/>
            <w:vAlign w:val="top"/>
          </w:tcPr>
          <w:p>
            <w:pPr>
              <w:spacing w:before="151" w:line="221" w:lineRule="auto"/>
              <w:ind w:left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行费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务接待费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shd w:val="clear" w:color="auto" w:fill="EFF2F7"/>
            <w:vAlign w:val="top"/>
          </w:tcPr>
          <w:p>
            <w:pPr>
              <w:spacing w:before="221" w:line="222" w:lineRule="auto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244" w:type="dxa"/>
            <w:shd w:val="clear" w:color="auto" w:fill="EFF2F7"/>
            <w:vAlign w:val="top"/>
          </w:tcPr>
          <w:p>
            <w:pPr>
              <w:spacing w:before="64" w:line="242" w:lineRule="auto"/>
              <w:ind w:left="405" w:right="64" w:hanging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229" w:type="dxa"/>
            <w:shd w:val="clear" w:color="auto" w:fill="EFF2F7"/>
            <w:vAlign w:val="top"/>
          </w:tcPr>
          <w:p>
            <w:pPr>
              <w:spacing w:before="64" w:line="242" w:lineRule="auto"/>
              <w:ind w:left="404" w:right="55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>
            <w:pPr>
              <w:spacing w:before="137" w:line="222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763" w:type="dxa"/>
            <w:vAlign w:val="top"/>
          </w:tcPr>
          <w:p>
            <w:pPr>
              <w:spacing w:before="171" w:line="187" w:lineRule="auto"/>
              <w:ind w:left="10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1.40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170" w:line="186" w:lineRule="auto"/>
              <w:ind w:left="143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1.40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170" w:line="186" w:lineRule="auto"/>
              <w:ind w:left="578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1.40</w:t>
            </w:r>
          </w:p>
        </w:tc>
        <w:tc>
          <w:tcPr>
            <w:tcW w:w="1187" w:type="dxa"/>
            <w:vAlign w:val="top"/>
          </w:tcPr>
          <w:p>
            <w:pPr>
              <w:spacing w:before="170" w:line="186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512007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夹江县港航中心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959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244" w:type="dxa"/>
            <w:vAlign w:val="center"/>
          </w:tcPr>
          <w:p>
            <w:pPr>
              <w:jc w:val="right"/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  <w:tc>
          <w:tcPr>
            <w:tcW w:w="1187" w:type="dxa"/>
            <w:vAlign w:val="top"/>
          </w:tcPr>
          <w:p>
            <w:pPr>
              <w:spacing w:before="257" w:line="186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32" w:type="dxa"/>
            <w:vAlign w:val="top"/>
          </w:tcPr>
          <w:p>
            <w:pPr>
              <w:spacing w:before="257" w:line="186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1" w:type="dxa"/>
            <w:vAlign w:val="top"/>
          </w:tcPr>
          <w:p>
            <w:pPr>
              <w:spacing w:before="67" w:line="241" w:lineRule="auto"/>
              <w:ind w:left="17" w:right="95" w:firstLine="2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3" w:type="dxa"/>
            <w:vAlign w:val="top"/>
          </w:tcPr>
          <w:p>
            <w:pPr>
              <w:spacing w:before="257" w:line="18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>
            <w:pPr>
              <w:spacing w:before="257" w:line="186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257" w:line="186" w:lineRule="auto"/>
              <w:ind w:left="57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7" w:type="dxa"/>
            <w:vAlign w:val="top"/>
          </w:tcPr>
          <w:p>
            <w:pPr>
              <w:spacing w:before="257" w:line="186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1431" w:right="1780" w:bottom="855" w:left="1780" w:header="0" w:footer="57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2" w:line="212" w:lineRule="auto"/>
        <w:ind w:right="33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公开表 4</w:t>
      </w: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3" w:line="225" w:lineRule="auto"/>
              <w:ind w:left="25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政府性基金预算支出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99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49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49" w:line="220" w:lineRule="auto"/>
              <w:ind w:left="7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年政府性基金预算支出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1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2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3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2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7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7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6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4-1</w:t>
      </w:r>
    </w:p>
    <w:p/>
    <w:p>
      <w:pPr>
        <w:spacing w:line="72" w:lineRule="exact"/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541"/>
        <w:gridCol w:w="405"/>
        <w:gridCol w:w="1142"/>
        <w:gridCol w:w="405"/>
        <w:gridCol w:w="1353"/>
        <w:gridCol w:w="1352"/>
        <w:gridCol w:w="1353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nil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129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府性基金预算“三公”经费支出预算表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735" w:type="dxa"/>
            <w:gridSpan w:val="3"/>
            <w:tcBorders>
              <w:top w:val="nil"/>
              <w:left w:val="single" w:color="FFFFFF" w:sz="2" w:space="0"/>
              <w:right w:val="nil"/>
            </w:tcBorders>
            <w:vAlign w:val="top"/>
          </w:tcPr>
          <w:p>
            <w:pPr>
              <w:spacing w:before="97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right w:val="single" w:color="FFFFFF" w:sz="2" w:space="0"/>
            </w:tcBorders>
            <w:vAlign w:val="top"/>
          </w:tcPr>
          <w:p>
            <w:pPr>
              <w:spacing w:before="98" w:line="221" w:lineRule="auto"/>
              <w:ind w:right="17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288" w:right="58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1" w:line="277" w:lineRule="auto"/>
              <w:ind w:left="595" w:right="104" w:hanging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目)</w:t>
            </w:r>
          </w:p>
        </w:tc>
        <w:tc>
          <w:tcPr>
            <w:tcW w:w="6010" w:type="dxa"/>
            <w:gridSpan w:val="6"/>
            <w:shd w:val="clear" w:color="auto" w:fill="EFF2F7"/>
            <w:vAlign w:val="top"/>
          </w:tcPr>
          <w:p>
            <w:pPr>
              <w:spacing w:before="149" w:line="221" w:lineRule="auto"/>
              <w:ind w:left="1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当年财政拨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款预算安排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shd w:val="clear" w:color="auto" w:fill="EFF2F7"/>
            <w:textDirection w:val="tbRlV"/>
            <w:vAlign w:val="top"/>
          </w:tcPr>
          <w:p>
            <w:pPr>
              <w:spacing w:before="89" w:line="210" w:lineRule="auto"/>
              <w:ind w:left="3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76" w:lineRule="auto"/>
              <w:ind w:left="33" w:right="14"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公出国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境)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</w:t>
            </w:r>
          </w:p>
        </w:tc>
        <w:tc>
          <w:tcPr>
            <w:tcW w:w="3110" w:type="dxa"/>
            <w:gridSpan w:val="3"/>
            <w:shd w:val="clear" w:color="auto" w:fill="EFF2F7"/>
            <w:vAlign w:val="top"/>
          </w:tcPr>
          <w:p>
            <w:pPr>
              <w:spacing w:before="150" w:line="221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公务用车购置及运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行费</w:t>
            </w:r>
          </w:p>
        </w:tc>
        <w:tc>
          <w:tcPr>
            <w:tcW w:w="135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务接待费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shd w:val="clear" w:color="auto" w:fill="EFF2F7"/>
            <w:textDirection w:val="tbRlV"/>
            <w:vAlign w:val="top"/>
          </w:tcPr>
          <w:p>
            <w:pPr>
              <w:spacing w:before="88" w:line="210" w:lineRule="auto"/>
              <w:ind w:left="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53" w:type="dxa"/>
            <w:shd w:val="clear" w:color="auto" w:fill="EFF2F7"/>
            <w:vAlign w:val="top"/>
          </w:tcPr>
          <w:p>
            <w:pPr>
              <w:spacing w:before="62" w:line="242" w:lineRule="auto"/>
              <w:ind w:left="460" w:right="119" w:hanging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2" w:type="dxa"/>
            <w:shd w:val="clear" w:color="auto" w:fill="EFF2F7"/>
            <w:vAlign w:val="top"/>
          </w:tcPr>
          <w:p>
            <w:pPr>
              <w:spacing w:before="62" w:line="242" w:lineRule="auto"/>
              <w:ind w:left="465" w:right="117" w:hanging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务用车运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</w:p>
        </w:tc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pacing w:before="138" w:line="222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7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71" w:line="222" w:lineRule="auto"/>
        <w:ind w:right="6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公开表 5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6"/>
        <w:tblW w:w="8340" w:type="dxa"/>
        <w:tblInd w:w="2" w:type="dxa"/>
        <w:tblBorders>
          <w:top w:val="single" w:color="C2C3C4" w:sz="2" w:space="0"/>
          <w:left w:val="single" w:color="C2C3C4" w:sz="2" w:space="0"/>
          <w:bottom w:val="single" w:color="C2C3C4" w:sz="2" w:space="0"/>
          <w:right w:val="single" w:color="C2C3C4" w:sz="2" w:space="0"/>
          <w:insideH w:val="single" w:color="C2C3C4" w:sz="2" w:space="0"/>
          <w:insideV w:val="single" w:color="C2C3C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326"/>
        <w:gridCol w:w="326"/>
        <w:gridCol w:w="1186"/>
        <w:gridCol w:w="2331"/>
        <w:gridCol w:w="613"/>
        <w:gridCol w:w="1186"/>
        <w:gridCol w:w="2041"/>
      </w:tblGrid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40" w:type="dxa"/>
            <w:gridSpan w:val="8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2" w:line="225" w:lineRule="auto"/>
              <w:ind w:left="2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有资本经营预算支出表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500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0" w:line="222" w:lineRule="auto"/>
              <w:ind w:left="25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单位：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夹江县港航中心</w:t>
            </w:r>
          </w:p>
        </w:tc>
        <w:tc>
          <w:tcPr>
            <w:tcW w:w="6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01" w:line="221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金额单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位：万元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500" w:type="dxa"/>
            <w:gridSpan w:val="5"/>
            <w:shd w:val="clear" w:color="auto" w:fill="EFF2F7"/>
            <w:vAlign w:val="top"/>
          </w:tcPr>
          <w:p>
            <w:pPr>
              <w:spacing w:before="150" w:line="222" w:lineRule="auto"/>
              <w:ind w:left="18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3840" w:type="dxa"/>
            <w:gridSpan w:val="3"/>
            <w:shd w:val="clear" w:color="auto" w:fill="EFF2F7"/>
            <w:vAlign w:val="top"/>
          </w:tcPr>
          <w:p>
            <w:pPr>
              <w:spacing w:before="150" w:line="220" w:lineRule="auto"/>
              <w:ind w:left="6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本年国有资本经营预算支出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83" w:type="dxa"/>
            <w:gridSpan w:val="3"/>
            <w:tcBorders>
              <w:top w:val="single" w:color="C0C0C0" w:sz="2" w:space="0"/>
              <w:left w:val="single" w:color="C0C0C0" w:sz="2" w:space="0"/>
              <w:bottom w:val="single" w:color="C0C0C0" w:sz="2" w:space="0"/>
              <w:right w:val="single" w:color="C0C0C0" w:sz="2" w:space="0"/>
            </w:tcBorders>
            <w:shd w:val="clear" w:color="auto" w:fill="EFF2F7"/>
            <w:vAlign w:val="top"/>
          </w:tcPr>
          <w:p>
            <w:pPr>
              <w:spacing w:before="150" w:line="220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编码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233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(科目)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</w:p>
        </w:tc>
        <w:tc>
          <w:tcPr>
            <w:tcW w:w="2041" w:type="dxa"/>
            <w:vMerge w:val="restart"/>
            <w:tcBorders>
              <w:bottom w:val="nil"/>
            </w:tcBorders>
            <w:shd w:val="clear" w:color="auto" w:fill="EFF2F7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目支出</w:t>
            </w: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31" w:type="dxa"/>
            <w:shd w:val="clear" w:color="auto" w:fill="EFF2F7"/>
            <w:vAlign w:val="top"/>
          </w:tcPr>
          <w:p>
            <w:pPr>
              <w:spacing w:before="151" w:line="221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</w:t>
            </w:r>
          </w:p>
        </w:tc>
        <w:tc>
          <w:tcPr>
            <w:tcW w:w="326" w:type="dxa"/>
            <w:shd w:val="clear" w:color="auto" w:fill="EFF2F7"/>
            <w:vAlign w:val="top"/>
          </w:tcPr>
          <w:p>
            <w:pPr>
              <w:spacing w:before="151" w:line="222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36" w:line="222" w:lineRule="auto"/>
              <w:ind w:left="7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C2C3C4" w:sz="2" w:space="0"/>
            <w:left w:val="single" w:color="C2C3C4" w:sz="2" w:space="0"/>
            <w:bottom w:val="single" w:color="C2C3C4" w:sz="2" w:space="0"/>
            <w:right w:val="single" w:color="C2C3C4" w:sz="2" w:space="0"/>
            <w:insideH w:val="single" w:color="C2C3C4" w:sz="2" w:space="0"/>
            <w:insideV w:val="single" w:color="C2C3C4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6" w:line="221" w:lineRule="auto"/>
        <w:ind w:left="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空表说明：</w:t>
      </w:r>
      <w:r>
        <w:rPr>
          <w:rFonts w:ascii="宋体" w:hAnsi="宋体" w:eastAsia="宋体" w:cs="宋体"/>
          <w:spacing w:val="-1"/>
          <w:sz w:val="22"/>
          <w:szCs w:val="22"/>
        </w:rPr>
        <w:t>无此项内容</w:t>
      </w:r>
    </w:p>
    <w:p>
      <w:pPr>
        <w:sectPr>
          <w:footerReference r:id="rId18" w:type="default"/>
          <w:pgSz w:w="11906" w:h="16839"/>
          <w:pgMar w:top="1431" w:right="1780" w:bottom="855" w:left="1780" w:header="0" w:footer="57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1" w:line="222" w:lineRule="auto"/>
        <w:ind w:right="6"/>
        <w:jc w:val="right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-7"/>
          <w:sz w:val="22"/>
          <w:szCs w:val="22"/>
        </w:rPr>
        <w:t>公开表</w:t>
      </w:r>
      <w:r>
        <w:rPr>
          <w:rFonts w:hint="eastAsia" w:ascii="宋体" w:hAnsi="宋体" w:eastAsia="宋体" w:cs="宋体"/>
          <w:spacing w:val="-7"/>
          <w:sz w:val="22"/>
          <w:szCs w:val="22"/>
          <w:lang w:val="en-US" w:eastAsia="zh-CN"/>
        </w:rPr>
        <w:t>6</w:t>
      </w:r>
    </w:p>
    <w:tbl>
      <w:tblPr>
        <w:tblStyle w:val="5"/>
        <w:tblW w:w="13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480"/>
        <w:gridCol w:w="1272"/>
        <w:gridCol w:w="1571"/>
        <w:gridCol w:w="1223"/>
        <w:gridCol w:w="838"/>
        <w:gridCol w:w="1212"/>
        <w:gridCol w:w="559"/>
        <w:gridCol w:w="755"/>
        <w:gridCol w:w="824"/>
        <w:gridCol w:w="486"/>
        <w:gridCol w:w="1313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3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单位预算项目支出绩效目标表（2022年度）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20" w:type="dxa"/>
            <w:gridSpan w:val="4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3" w:type="dxa"/>
            <w:gridSpan w:val="3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FF2F7" w:fill="EFF2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指标方向性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512007-夹江县港航中心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512007-夹江县港航中心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定额公用经费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非定额公用经费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工会费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福利费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党组织活动经费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离退休干部活动费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保障单位日常运转，提高预算编制质量，严格执行预算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数量指标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科目调整次数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产出指标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质量指标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≤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效益指标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经济效益指标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运转保障率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正向指标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68" w:lineRule="auto"/>
        <w:rPr>
          <w:rFonts w:ascii="Arial"/>
          <w:sz w:val="2"/>
        </w:rPr>
      </w:pPr>
    </w:p>
    <w:p/>
    <w:p>
      <w:pPr>
        <w:spacing w:line="66" w:lineRule="exact"/>
      </w:pPr>
    </w:p>
    <w:p>
      <w:pPr>
        <w:spacing w:before="50" w:line="225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注：此表公开的为</w:t>
      </w:r>
      <w:r>
        <w:rPr>
          <w:rFonts w:ascii="宋体" w:hAnsi="宋体" w:eastAsia="宋体" w:cs="宋体"/>
          <w:sz w:val="22"/>
          <w:szCs w:val="22"/>
        </w:rPr>
        <w:t>特定目标类项目绩效目标。</w:t>
      </w:r>
    </w:p>
    <w:p>
      <w:pPr>
        <w:sectPr>
          <w:footerReference r:id="rId19" w:type="default"/>
          <w:pgSz w:w="16839" w:h="11906"/>
          <w:pgMar w:top="1012" w:right="1420" w:bottom="855" w:left="1420" w:header="0" w:footer="57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223" w:line="168" w:lineRule="auto"/>
        <w:ind w:left="795"/>
        <w:outlineLvl w:val="1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ascii="微软雅黑" w:hAnsi="微软雅黑" w:eastAsia="微软雅黑" w:cs="微软雅黑"/>
          <w:spacing w:val="6"/>
          <w:sz w:val="52"/>
          <w:szCs w:val="52"/>
        </w:rPr>
        <w:t>第三</w:t>
      </w:r>
      <w:r>
        <w:rPr>
          <w:rFonts w:ascii="微软雅黑" w:hAnsi="微软雅黑" w:eastAsia="微软雅黑" w:cs="微软雅黑"/>
          <w:spacing w:val="3"/>
          <w:sz w:val="52"/>
          <w:szCs w:val="52"/>
        </w:rPr>
        <w:t xml:space="preserve">部分   </w:t>
      </w:r>
      <w:r>
        <w:rPr>
          <w:rFonts w:hint="eastAsia" w:ascii="微软雅黑" w:hAnsi="微软雅黑" w:eastAsia="微软雅黑" w:cs="微软雅黑"/>
          <w:spacing w:val="3"/>
          <w:sz w:val="52"/>
          <w:szCs w:val="52"/>
          <w:lang w:val="en-US" w:eastAsia="zh-CN"/>
        </w:rPr>
        <w:t>夹江县港航中心</w:t>
      </w:r>
    </w:p>
    <w:p>
      <w:pPr>
        <w:spacing w:before="1" w:line="183" w:lineRule="auto"/>
        <w:ind w:left="1253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2022 </w:t>
      </w:r>
      <w:r>
        <w:rPr>
          <w:rFonts w:ascii="微软雅黑" w:hAnsi="微软雅黑" w:eastAsia="微软雅黑" w:cs="微软雅黑"/>
          <w:spacing w:val="-1"/>
          <w:sz w:val="52"/>
          <w:szCs w:val="52"/>
        </w:rPr>
        <w:t>年单位预算情</w:t>
      </w:r>
      <w:r>
        <w:rPr>
          <w:rFonts w:ascii="微软雅黑" w:hAnsi="微软雅黑" w:eastAsia="微软雅黑" w:cs="微软雅黑"/>
          <w:sz w:val="52"/>
          <w:szCs w:val="52"/>
        </w:rPr>
        <w:t>况说明</w:t>
      </w:r>
    </w:p>
    <w:p>
      <w:pPr>
        <w:sectPr>
          <w:footerReference r:id="rId20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spacing w:before="215" w:line="513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4"/>
          <w:sz w:val="31"/>
          <w:szCs w:val="31"/>
        </w:rPr>
        <w:t>一、收支预算情况说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明</w:t>
      </w:r>
    </w:p>
    <w:p>
      <w:pPr>
        <w:spacing w:before="75" w:line="345" w:lineRule="auto"/>
        <w:ind w:left="35" w:right="2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照</w:t>
      </w:r>
      <w:r>
        <w:rPr>
          <w:rFonts w:ascii="仿宋" w:hAnsi="仿宋" w:eastAsia="仿宋" w:cs="仿宋"/>
          <w:spacing w:val="8"/>
          <w:sz w:val="31"/>
          <w:szCs w:val="31"/>
        </w:rPr>
        <w:t>综合预算的原则，所有收入和支出均纳入单</w:t>
      </w:r>
      <w:r>
        <w:rPr>
          <w:rFonts w:ascii="仿宋" w:hAnsi="仿宋" w:eastAsia="仿宋" w:cs="仿宋"/>
          <w:spacing w:val="-1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预算管理。收入包括：一般公共预算拨款收入、上年结转； </w:t>
      </w:r>
      <w:r>
        <w:rPr>
          <w:rFonts w:ascii="仿宋" w:hAnsi="仿宋" w:eastAsia="仿宋" w:cs="仿宋"/>
          <w:spacing w:val="16"/>
          <w:sz w:val="31"/>
          <w:szCs w:val="31"/>
        </w:rPr>
        <w:t>支</w:t>
      </w:r>
      <w:r>
        <w:rPr>
          <w:rFonts w:ascii="仿宋" w:hAnsi="仿宋" w:eastAsia="仿宋" w:cs="仿宋"/>
          <w:spacing w:val="14"/>
          <w:sz w:val="31"/>
          <w:szCs w:val="31"/>
        </w:rPr>
        <w:t>出</w:t>
      </w:r>
      <w:r>
        <w:rPr>
          <w:rFonts w:ascii="仿宋" w:hAnsi="仿宋" w:eastAsia="仿宋" w:cs="仿宋"/>
          <w:spacing w:val="8"/>
          <w:sz w:val="31"/>
          <w:szCs w:val="31"/>
        </w:rPr>
        <w:t>包括：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8"/>
          <w:sz w:val="31"/>
          <w:szCs w:val="31"/>
        </w:rPr>
        <w:t>支出、教育支出、社会保障和就业</w:t>
      </w:r>
      <w:r>
        <w:rPr>
          <w:rFonts w:ascii="仿宋" w:hAnsi="仿宋" w:eastAsia="仿宋" w:cs="仿宋"/>
          <w:spacing w:val="20"/>
          <w:sz w:val="31"/>
          <w:szCs w:val="31"/>
        </w:rPr>
        <w:t>支</w:t>
      </w:r>
      <w:r>
        <w:rPr>
          <w:rFonts w:ascii="仿宋" w:hAnsi="仿宋" w:eastAsia="仿宋" w:cs="仿宋"/>
          <w:spacing w:val="10"/>
          <w:sz w:val="31"/>
          <w:szCs w:val="31"/>
        </w:rPr>
        <w:t>出、卫生健康支出、住房保障支出。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年收支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预算总数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61.53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万元，比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年收支预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算总数同口径增加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2.33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人员工资调标和公务员医疗补助等</w:t>
      </w:r>
      <w:r>
        <w:rPr>
          <w:rFonts w:ascii="仿宋" w:hAnsi="仿宋" w:eastAsia="仿宋" w:cs="仿宋"/>
          <w:spacing w:val="8"/>
          <w:sz w:val="31"/>
          <w:szCs w:val="31"/>
        </w:rPr>
        <w:t>经费增加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收入预算情况</w:t>
      </w:r>
    </w:p>
    <w:p>
      <w:pPr>
        <w:spacing w:before="193" w:line="345" w:lineRule="auto"/>
        <w:ind w:left="37" w:right="112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年收入预算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万元，其中：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一般公共预算拨款收入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61.53</w:t>
      </w:r>
      <w:r>
        <w:rPr>
          <w:rFonts w:ascii="仿宋" w:hAnsi="仿宋" w:eastAsia="仿宋" w:cs="仿宋"/>
          <w:spacing w:val="-15"/>
          <w:sz w:val="31"/>
          <w:szCs w:val="31"/>
        </w:rPr>
        <w:t>万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元， 占 </w:t>
      </w:r>
      <w:r>
        <w:rPr>
          <w:rFonts w:hint="eastAsia" w:ascii="Times New Roman" w:hAnsi="Times New Roman" w:eastAsia="宋体" w:cs="Times New Roman"/>
          <w:spacing w:val="-14"/>
          <w:sz w:val="31"/>
          <w:szCs w:val="31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%</w:t>
      </w:r>
      <w:r>
        <w:rPr>
          <w:rFonts w:ascii="仿宋" w:hAnsi="仿宋" w:eastAsia="仿宋" w:cs="仿宋"/>
          <w:spacing w:val="-14"/>
          <w:sz w:val="31"/>
          <w:szCs w:val="31"/>
        </w:rPr>
        <w:t>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支出预算情况</w:t>
      </w:r>
    </w:p>
    <w:p>
      <w:pPr>
        <w:spacing w:before="190" w:line="345" w:lineRule="auto"/>
        <w:ind w:left="19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年支出预算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万元，其中：基本支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出 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61.53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万元 </w:t>
      </w:r>
      <w:r>
        <w:rPr>
          <w:rFonts w:hint="eastAsia" w:ascii="仿宋" w:hAnsi="仿宋" w:eastAsia="仿宋" w:cs="仿宋"/>
          <w:spacing w:val="-1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7"/>
          <w:sz w:val="31"/>
          <w:szCs w:val="31"/>
        </w:rPr>
        <w:t>占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100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 xml:space="preserve">% 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；项目支出 </w:t>
      </w:r>
      <w:r>
        <w:rPr>
          <w:rFonts w:hint="eastAsia" w:ascii="Times New Roman" w:hAnsi="Times New Roman" w:eastAsia="宋体" w:cs="Times New Roman"/>
          <w:spacing w:val="-1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17"/>
          <w:sz w:val="31"/>
          <w:szCs w:val="31"/>
        </w:rPr>
        <w:t>万元 ，</w:t>
      </w:r>
      <w:r>
        <w:rPr>
          <w:rFonts w:ascii="仿宋" w:hAnsi="仿宋" w:eastAsia="仿宋" w:cs="仿宋"/>
          <w:spacing w:val="-13"/>
          <w:sz w:val="31"/>
          <w:szCs w:val="31"/>
        </w:rPr>
        <w:t>占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line="417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、财政拨款收支预算情况说明</w:t>
      </w:r>
    </w:p>
    <w:p>
      <w:pPr>
        <w:spacing w:before="163" w:line="351" w:lineRule="auto"/>
        <w:ind w:left="20" w:firstLine="656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>年财政拨款收支预算总数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, </w:t>
      </w:r>
      <w:r>
        <w:rPr>
          <w:rFonts w:ascii="仿宋" w:hAnsi="仿宋" w:eastAsia="仿宋" w:cs="仿宋"/>
          <w:sz w:val="31"/>
          <w:szCs w:val="31"/>
        </w:rPr>
        <w:t xml:space="preserve">比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年财政拨款收支预算总数增加 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2.33</w:t>
      </w:r>
      <w:r>
        <w:rPr>
          <w:rFonts w:ascii="仿宋" w:hAnsi="仿宋" w:eastAsia="仿宋" w:cs="仿宋"/>
          <w:spacing w:val="9"/>
          <w:sz w:val="31"/>
          <w:szCs w:val="31"/>
        </w:rPr>
        <w:t>万元，</w:t>
      </w:r>
      <w:r>
        <w:rPr>
          <w:rFonts w:ascii="仿宋" w:hAnsi="仿宋" w:eastAsia="仿宋" w:cs="仿宋"/>
          <w:spacing w:val="2"/>
          <w:sz w:val="31"/>
          <w:szCs w:val="31"/>
        </w:rPr>
        <w:t>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人员工资调标和公务员医疗补助等</w:t>
      </w:r>
      <w:r>
        <w:rPr>
          <w:rFonts w:ascii="仿宋" w:hAnsi="仿宋" w:eastAsia="仿宋" w:cs="仿宋"/>
          <w:spacing w:val="8"/>
          <w:sz w:val="31"/>
          <w:szCs w:val="31"/>
        </w:rPr>
        <w:t>经费增加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63" w:line="351" w:lineRule="auto"/>
        <w:ind w:left="20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收入包括：</w:t>
      </w:r>
      <w:r>
        <w:rPr>
          <w:rFonts w:ascii="仿宋" w:hAnsi="仿宋" w:eastAsia="仿宋" w:cs="仿宋"/>
          <w:spacing w:val="4"/>
          <w:sz w:val="31"/>
          <w:szCs w:val="31"/>
        </w:rPr>
        <w:t>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年一般公共预算拨款收入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；支出包括：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支出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45.93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万元、教育支出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0.89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万元、社会保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障和就业支出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5.18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万元、卫生健康支出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3.29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>住房</w:t>
      </w:r>
      <w:r>
        <w:rPr>
          <w:rFonts w:ascii="仿宋" w:hAnsi="仿宋" w:eastAsia="仿宋" w:cs="仿宋"/>
          <w:spacing w:val="-10"/>
          <w:sz w:val="31"/>
          <w:szCs w:val="31"/>
        </w:rPr>
        <w:t>保</w:t>
      </w:r>
      <w:r>
        <w:rPr>
          <w:rFonts w:ascii="仿宋" w:hAnsi="仿宋" w:eastAsia="仿宋" w:cs="仿宋"/>
          <w:spacing w:val="-6"/>
          <w:sz w:val="31"/>
          <w:szCs w:val="31"/>
        </w:rPr>
        <w:t>障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支出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lang w:val="en-US" w:eastAsia="zh-CN"/>
        </w:rPr>
        <w:t>6.25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1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三</w:t>
      </w:r>
      <w:r>
        <w:rPr>
          <w:rFonts w:ascii="黑体" w:hAnsi="黑体" w:eastAsia="黑体" w:cs="黑体"/>
          <w:spacing w:val="9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一般公共预算当年拨款情况说明</w:t>
      </w:r>
    </w:p>
    <w:p>
      <w:pPr>
        <w:spacing w:before="173" w:line="231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一般公共预算当年拨款规模变化情况</w:t>
      </w:r>
    </w:p>
    <w:p>
      <w:pPr>
        <w:spacing w:before="195" w:line="345" w:lineRule="auto"/>
        <w:ind w:left="20" w:firstLine="65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3"/>
          <w:sz w:val="31"/>
          <w:szCs w:val="31"/>
        </w:rPr>
        <w:t>年一般公共预算当年拨款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年预算数增加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2.33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2"/>
          <w:sz w:val="31"/>
          <w:szCs w:val="31"/>
        </w:rPr>
        <w:t>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人员工资调标和公务员医疗补助等</w:t>
      </w:r>
      <w:r>
        <w:rPr>
          <w:rFonts w:ascii="仿宋" w:hAnsi="仿宋" w:eastAsia="仿宋" w:cs="仿宋"/>
          <w:spacing w:val="8"/>
          <w:sz w:val="31"/>
          <w:szCs w:val="31"/>
        </w:rPr>
        <w:t>经费增加。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一般公共预算当年拨款结构情况</w:t>
      </w:r>
    </w:p>
    <w:p>
      <w:pPr>
        <w:spacing w:before="147" w:line="352" w:lineRule="auto"/>
        <w:ind w:left="27" w:right="100" w:firstLine="65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交通运输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支出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45.93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万元， 占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74.65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%</w:t>
      </w:r>
      <w:r>
        <w:rPr>
          <w:rFonts w:ascii="仿宋" w:hAnsi="仿宋" w:eastAsia="仿宋" w:cs="仿宋"/>
          <w:spacing w:val="-4"/>
          <w:sz w:val="31"/>
          <w:szCs w:val="31"/>
        </w:rPr>
        <w:t>；教育支出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>0.89</w:t>
      </w:r>
      <w:r>
        <w:rPr>
          <w:rFonts w:ascii="仿宋" w:hAnsi="仿宋" w:eastAsia="仿宋" w:cs="仿宋"/>
          <w:spacing w:val="-6"/>
          <w:sz w:val="31"/>
          <w:szCs w:val="31"/>
        </w:rPr>
        <w:t>万元，占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>1.44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%</w:t>
      </w:r>
      <w:r>
        <w:rPr>
          <w:rFonts w:ascii="仿宋" w:hAnsi="仿宋" w:eastAsia="仿宋" w:cs="仿宋"/>
          <w:spacing w:val="-6"/>
          <w:sz w:val="31"/>
          <w:szCs w:val="31"/>
        </w:rPr>
        <w:t>；社会保障和就业支出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5.18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hint="eastAsia" w:ascii="Times New Roman" w:hAnsi="Times New Roman" w:eastAsia="宋体" w:cs="Times New Roman"/>
          <w:spacing w:val="1"/>
          <w:sz w:val="31"/>
          <w:szCs w:val="31"/>
          <w:lang w:val="en-US" w:eastAsia="zh-CN"/>
        </w:rPr>
        <w:t>8.42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pacing w:val="1"/>
          <w:sz w:val="31"/>
          <w:szCs w:val="31"/>
        </w:rPr>
        <w:t>；卫生健康支出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3.29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5.34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%</w:t>
      </w:r>
      <w:r>
        <w:rPr>
          <w:rFonts w:ascii="仿宋" w:hAnsi="仿宋" w:eastAsia="仿宋" w:cs="仿宋"/>
          <w:sz w:val="31"/>
          <w:szCs w:val="31"/>
        </w:rPr>
        <w:t>；住房保障支出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6.25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-11"/>
          <w:sz w:val="31"/>
          <w:szCs w:val="31"/>
          <w:lang w:val="en-US" w:eastAsia="zh-CN"/>
        </w:rPr>
        <w:t>10.15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%</w:t>
      </w:r>
      <w:r>
        <w:rPr>
          <w:rFonts w:ascii="仿宋" w:hAnsi="仿宋" w:eastAsia="仿宋" w:cs="仿宋"/>
          <w:spacing w:val="-11"/>
          <w:sz w:val="31"/>
          <w:szCs w:val="31"/>
        </w:rPr>
        <w:t>。</w:t>
      </w:r>
    </w:p>
    <w:p>
      <w:pPr>
        <w:spacing w:before="1" w:line="230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一般公共预算当年拨款具体使用情况</w:t>
      </w:r>
    </w:p>
    <w:p>
      <w:pPr>
        <w:spacing w:before="191" w:line="346" w:lineRule="auto"/>
        <w:ind w:left="20" w:right="105" w:firstLine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交通运输支出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公路水路运输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（款）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海事管理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（项）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>预算数为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45.93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4"/>
          <w:sz w:val="31"/>
          <w:szCs w:val="31"/>
        </w:rPr>
        <w:t>正常运转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基本支出，包括基本工资、津贴补贴等人员经费以及办公费、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邮电</w:t>
      </w:r>
      <w:r>
        <w:rPr>
          <w:rFonts w:ascii="仿宋" w:hAnsi="仿宋" w:eastAsia="仿宋" w:cs="仿宋"/>
          <w:spacing w:val="9"/>
          <w:sz w:val="31"/>
          <w:szCs w:val="31"/>
        </w:rPr>
        <w:t>费、水电费等日常公用经费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" w:line="345" w:lineRule="auto"/>
        <w:ind w:left="37" w:right="132" w:firstLine="632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教育支出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进修及培训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（款）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培训支出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（项）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>预算数为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0.89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万元，主要用于：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干部职工各类培训支出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45" w:lineRule="auto"/>
        <w:ind w:left="29" w:right="137" w:firstLine="63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社会保障和就业 (类) 行政事业单位养老支出 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机关事业单位基本养老保险缴费支出 (项)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5"/>
          <w:sz w:val="31"/>
          <w:szCs w:val="31"/>
        </w:rPr>
        <w:t>年预算数</w:t>
      </w:r>
      <w:r>
        <w:rPr>
          <w:rFonts w:ascii="仿宋" w:hAnsi="仿宋" w:eastAsia="仿宋" w:cs="仿宋"/>
          <w:sz w:val="31"/>
          <w:szCs w:val="31"/>
        </w:rPr>
        <w:t xml:space="preserve">为 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5.18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万元，主要用于：保障职工养老保险缴费。</w:t>
      </w:r>
    </w:p>
    <w:p>
      <w:pPr>
        <w:spacing w:before="2" w:line="345" w:lineRule="auto"/>
        <w:ind w:left="40" w:right="137" w:firstLine="634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ascii="仿宋" w:hAnsi="仿宋" w:eastAsia="仿宋" w:cs="仿宋"/>
          <w:spacing w:val="10"/>
          <w:sz w:val="31"/>
          <w:szCs w:val="31"/>
        </w:rPr>
        <w:t>卫</w:t>
      </w:r>
      <w:r>
        <w:rPr>
          <w:rFonts w:ascii="仿宋" w:hAnsi="仿宋" w:eastAsia="仿宋" w:cs="仿宋"/>
          <w:spacing w:val="9"/>
          <w:sz w:val="31"/>
          <w:szCs w:val="31"/>
        </w:rPr>
        <w:t>生健康 (类) 行政事业单位医疗 (款) 行政单位医</w:t>
      </w:r>
      <w:r>
        <w:rPr>
          <w:rFonts w:ascii="仿宋" w:hAnsi="仿宋" w:eastAsia="仿宋" w:cs="仿宋"/>
          <w:spacing w:val="16"/>
          <w:sz w:val="31"/>
          <w:szCs w:val="31"/>
        </w:rPr>
        <w:t>疗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(项)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年预算数为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2.09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万元，主要用于：保障职</w:t>
      </w:r>
      <w:r>
        <w:rPr>
          <w:rFonts w:ascii="仿宋" w:hAnsi="仿宋" w:eastAsia="仿宋" w:cs="仿宋"/>
          <w:spacing w:val="7"/>
          <w:sz w:val="31"/>
          <w:szCs w:val="31"/>
        </w:rPr>
        <w:t>工</w:t>
      </w:r>
      <w:r>
        <w:rPr>
          <w:rFonts w:ascii="仿宋" w:hAnsi="仿宋" w:eastAsia="仿宋" w:cs="仿宋"/>
          <w:spacing w:val="5"/>
          <w:sz w:val="31"/>
          <w:szCs w:val="31"/>
        </w:rPr>
        <w:t>医疗保险缴费。</w:t>
      </w:r>
    </w:p>
    <w:p>
      <w:pPr>
        <w:spacing w:before="2" w:line="345" w:lineRule="auto"/>
        <w:ind w:left="40" w:right="135" w:firstLine="627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5.</w:t>
      </w:r>
      <w:r>
        <w:rPr>
          <w:rFonts w:ascii="仿宋" w:hAnsi="仿宋" w:eastAsia="仿宋" w:cs="仿宋"/>
          <w:spacing w:val="10"/>
          <w:sz w:val="31"/>
          <w:szCs w:val="31"/>
        </w:rPr>
        <w:t>卫生健康 (类) 行政事业单位医疗 (款) 公务员医</w:t>
      </w:r>
      <w:r>
        <w:rPr>
          <w:rFonts w:ascii="仿宋" w:hAnsi="仿宋" w:eastAsia="仿宋" w:cs="仿宋"/>
          <w:spacing w:val="7"/>
          <w:sz w:val="31"/>
          <w:szCs w:val="31"/>
        </w:rPr>
        <w:t>疗</w:t>
      </w:r>
      <w:r>
        <w:rPr>
          <w:rFonts w:ascii="仿宋" w:hAnsi="仿宋" w:eastAsia="仿宋" w:cs="仿宋"/>
          <w:spacing w:val="6"/>
          <w:sz w:val="31"/>
          <w:szCs w:val="31"/>
        </w:rPr>
        <w:t>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助(项)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年预算数为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1.2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万元，主要用于：保障职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医疗补助保险缴费。</w:t>
      </w:r>
    </w:p>
    <w:p>
      <w:pPr>
        <w:spacing w:before="1" w:line="352" w:lineRule="auto"/>
        <w:ind w:left="20" w:firstLine="671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住房保障 (类) 住房改革支出 (款) 住房公积金 (项)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年预算数为 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6.25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万元，主要用于：保障职工住房公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积</w:t>
      </w:r>
      <w:r>
        <w:rPr>
          <w:rFonts w:ascii="仿宋" w:hAnsi="仿宋" w:eastAsia="仿宋" w:cs="仿宋"/>
          <w:spacing w:val="6"/>
          <w:sz w:val="31"/>
          <w:szCs w:val="31"/>
        </w:rPr>
        <w:t>金缴费。</w:t>
      </w:r>
    </w:p>
    <w:p>
      <w:pPr>
        <w:spacing w:before="1" w:line="352" w:lineRule="auto"/>
        <w:ind w:left="20" w:firstLine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四、一般公共预算基本支出情况说</w:t>
      </w:r>
      <w:r>
        <w:rPr>
          <w:rFonts w:ascii="黑体" w:hAnsi="黑体" w:eastAsia="黑体" w:cs="黑体"/>
          <w:spacing w:val="7"/>
          <w:sz w:val="31"/>
          <w:szCs w:val="31"/>
        </w:rPr>
        <w:t>明</w:t>
      </w:r>
    </w:p>
    <w:p>
      <w:pPr>
        <w:spacing w:before="191" w:line="345" w:lineRule="auto"/>
        <w:ind w:left="76" w:right="119" w:firstLine="6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年一般公共预算基本支出 </w:t>
      </w:r>
      <w:r>
        <w:rPr>
          <w:rFonts w:hint="eastAsia" w:ascii="Times New Roman" w:hAnsi="Times New Roman" w:eastAsia="宋体" w:cs="Times New Roman"/>
          <w:spacing w:val="-1"/>
          <w:sz w:val="31"/>
          <w:szCs w:val="31"/>
          <w:lang w:val="en-US" w:eastAsia="zh-CN"/>
        </w:rPr>
        <w:t>61.53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其 </w:t>
      </w:r>
      <w:r>
        <w:rPr>
          <w:rFonts w:ascii="仿宋" w:hAnsi="仿宋" w:eastAsia="仿宋" w:cs="仿宋"/>
          <w:spacing w:val="-28"/>
          <w:sz w:val="31"/>
          <w:szCs w:val="31"/>
        </w:rPr>
        <w:t>中</w:t>
      </w:r>
      <w:r>
        <w:rPr>
          <w:rFonts w:ascii="仿宋" w:hAnsi="仿宋" w:eastAsia="仿宋" w:cs="仿宋"/>
          <w:spacing w:val="-26"/>
          <w:sz w:val="31"/>
          <w:szCs w:val="31"/>
        </w:rPr>
        <w:t>：</w:t>
      </w:r>
    </w:p>
    <w:p>
      <w:pPr>
        <w:spacing w:before="2" w:line="345" w:lineRule="auto"/>
        <w:ind w:left="35" w:right="11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人员经费 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50.17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万元，主要包括：基本工资、津贴</w:t>
      </w:r>
      <w:r>
        <w:rPr>
          <w:rFonts w:ascii="仿宋" w:hAnsi="仿宋" w:eastAsia="仿宋" w:cs="仿宋"/>
          <w:spacing w:val="3"/>
          <w:sz w:val="31"/>
          <w:szCs w:val="31"/>
        </w:rPr>
        <w:t>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贴、</w:t>
      </w:r>
      <w:r>
        <w:rPr>
          <w:rFonts w:ascii="仿宋" w:hAnsi="仿宋" w:eastAsia="仿宋" w:cs="仿宋"/>
          <w:spacing w:val="9"/>
          <w:sz w:val="31"/>
          <w:szCs w:val="31"/>
        </w:rPr>
        <w:t>奖</w:t>
      </w:r>
      <w:r>
        <w:rPr>
          <w:rFonts w:ascii="仿宋" w:hAnsi="仿宋" w:eastAsia="仿宋" w:cs="仿宋"/>
          <w:spacing w:val="8"/>
          <w:sz w:val="31"/>
          <w:szCs w:val="31"/>
        </w:rPr>
        <w:t>金、社会保险缴费、工会经费、福利费、公务交通费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用、独生子女父母奖励等。</w:t>
      </w:r>
    </w:p>
    <w:p>
      <w:pPr>
        <w:spacing w:before="2" w:line="345" w:lineRule="auto"/>
        <w:ind w:left="34" w:right="11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公用经费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11.36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万元，主要包括：办公费、印刷费</w:t>
      </w:r>
      <w:r>
        <w:rPr>
          <w:rFonts w:ascii="仿宋" w:hAnsi="仿宋" w:eastAsia="仿宋" w:cs="仿宋"/>
          <w:spacing w:val="1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水费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电费、邮电费、物业管理费、差旅费、会议费、公务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待费、劳务费、公务用车运行维护费等。</w:t>
      </w:r>
    </w:p>
    <w:p>
      <w:pPr>
        <w:spacing w:before="1" w:line="239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五、“三公”经费财政拨款预算安排情况说</w:t>
      </w:r>
      <w:r>
        <w:rPr>
          <w:rFonts w:ascii="黑体" w:hAnsi="黑体" w:eastAsia="黑体" w:cs="黑体"/>
          <w:spacing w:val="6"/>
          <w:sz w:val="31"/>
          <w:szCs w:val="31"/>
        </w:rPr>
        <w:t>明</w:t>
      </w:r>
    </w:p>
    <w:p>
      <w:pPr>
        <w:tabs>
          <w:tab w:val="left" w:pos="193"/>
        </w:tabs>
        <w:spacing w:before="182" w:line="345" w:lineRule="auto"/>
        <w:ind w:left="37" w:right="29" w:firstLine="63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年“三公”经费财政拨款预算数 </w:t>
      </w:r>
      <w:r>
        <w:rPr>
          <w:rFonts w:hint="eastAsia" w:ascii="Times New Roman" w:hAnsi="Times New Roman" w:eastAsia="宋体" w:cs="Times New Roman"/>
          <w:spacing w:val="-7"/>
          <w:sz w:val="31"/>
          <w:szCs w:val="31"/>
          <w:lang w:val="en-US" w:eastAsia="zh-CN"/>
        </w:rPr>
        <w:t>1.4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其中：</w:t>
      </w:r>
      <w:r>
        <w:rPr>
          <w:rFonts w:hint="eastAsia" w:ascii="仿宋" w:hAnsi="仿宋" w:eastAsia="仿宋" w:cs="仿宋"/>
          <w:sz w:val="30"/>
          <w:szCs w:val="30"/>
        </w:rPr>
        <w:t>因公出国（境）经费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公务接待费 </w:t>
      </w:r>
      <w:r>
        <w:rPr>
          <w:rFonts w:hint="eastAsia" w:ascii="Times New Roman" w:hAnsi="Times New Roman" w:eastAsia="宋体" w:cs="Times New Roman"/>
          <w:spacing w:val="13"/>
          <w:sz w:val="31"/>
          <w:szCs w:val="31"/>
          <w:lang w:val="en-US" w:eastAsia="zh-CN"/>
        </w:rPr>
        <w:t>0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万元，公务用车购置及运行维护</w:t>
      </w:r>
      <w:r>
        <w:rPr>
          <w:rFonts w:ascii="仿宋" w:hAnsi="仿宋" w:eastAsia="仿宋" w:cs="仿宋"/>
          <w:spacing w:val="11"/>
          <w:sz w:val="31"/>
          <w:szCs w:val="31"/>
        </w:rPr>
        <w:t>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12"/>
          <w:sz w:val="31"/>
          <w:szCs w:val="31"/>
          <w:lang w:val="en-US" w:eastAsia="zh-CN"/>
        </w:rPr>
        <w:t>1.4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>
      <w:pPr>
        <w:spacing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公务用车购置及运行维护费与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2021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年预算持平</w:t>
      </w:r>
      <w:r>
        <w:rPr>
          <w:rFonts w:ascii="楷体" w:hAnsi="楷体" w:eastAsia="楷体" w:cs="楷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198" w:line="225" w:lineRule="auto"/>
        <w:ind w:left="46" w:firstLine="536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6"/>
          <w:sz w:val="30"/>
          <w:szCs w:val="30"/>
        </w:rPr>
        <w:t>单位</w:t>
      </w:r>
      <w:r>
        <w:rPr>
          <w:rFonts w:hint="eastAsia" w:ascii="仿宋" w:hAnsi="仿宋" w:eastAsia="仿宋" w:cs="仿宋"/>
          <w:spacing w:val="-12"/>
          <w:sz w:val="30"/>
          <w:szCs w:val="30"/>
        </w:rPr>
        <w:t>现</w:t>
      </w:r>
      <w:r>
        <w:rPr>
          <w:rFonts w:hint="eastAsia" w:ascii="仿宋" w:hAnsi="仿宋" w:eastAsia="仿宋" w:cs="仿宋"/>
          <w:spacing w:val="-8"/>
          <w:sz w:val="30"/>
          <w:szCs w:val="30"/>
        </w:rPr>
        <w:t>有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执法执勤车辆1辆</w:t>
      </w:r>
      <w:r>
        <w:rPr>
          <w:rFonts w:hint="eastAsia" w:ascii="仿宋" w:hAnsi="仿宋" w:eastAsia="仿宋" w:cs="仿宋"/>
          <w:spacing w:val="-8"/>
          <w:sz w:val="30"/>
          <w:szCs w:val="30"/>
        </w:rPr>
        <w:t xml:space="preserve">，其中：轿车 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8"/>
          <w:sz w:val="30"/>
          <w:szCs w:val="30"/>
        </w:rPr>
        <w:t xml:space="preserve"> 辆</w:t>
      </w:r>
      <w:r>
        <w:rPr>
          <w:rFonts w:hint="eastAsia" w:ascii="仿宋" w:hAnsi="仿宋" w:eastAsia="仿宋" w:cs="仿宋"/>
          <w:spacing w:val="-8"/>
          <w:sz w:val="30"/>
          <w:szCs w:val="30"/>
          <w:lang w:eastAsia="zh-CN"/>
        </w:rPr>
        <w:t>。</w:t>
      </w:r>
    </w:p>
    <w:p>
      <w:pPr>
        <w:spacing w:before="203" w:line="225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022 </w:t>
      </w:r>
      <w:r>
        <w:rPr>
          <w:rFonts w:ascii="仿宋" w:hAnsi="仿宋" w:eastAsia="仿宋" w:cs="仿宋"/>
          <w:spacing w:val="7"/>
          <w:sz w:val="30"/>
          <w:szCs w:val="30"/>
        </w:rPr>
        <w:t>年未安排公务用车购置费。</w:t>
      </w:r>
    </w:p>
    <w:p>
      <w:pPr>
        <w:spacing w:before="204" w:line="345" w:lineRule="auto"/>
        <w:ind w:left="36" w:right="87" w:firstLine="62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2 </w:t>
      </w:r>
      <w:r>
        <w:rPr>
          <w:rFonts w:ascii="仿宋" w:hAnsi="仿宋" w:eastAsia="仿宋" w:cs="仿宋"/>
          <w:spacing w:val="4"/>
          <w:sz w:val="30"/>
          <w:szCs w:val="30"/>
        </w:rPr>
        <w:t>年安排公务用车运行维护费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1.4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万元，用于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执法车辆</w:t>
      </w:r>
      <w:r>
        <w:rPr>
          <w:rFonts w:hint="eastAsia" w:ascii="仿宋" w:hAnsi="仿宋" w:eastAsia="仿宋" w:cs="仿宋"/>
          <w:spacing w:val="8"/>
          <w:sz w:val="30"/>
          <w:szCs w:val="30"/>
        </w:rPr>
        <w:t>燃油、过路</w:t>
      </w:r>
      <w:r>
        <w:rPr>
          <w:rFonts w:hint="eastAsia" w:ascii="仿宋" w:hAnsi="仿宋" w:eastAsia="仿宋" w:cs="仿宋"/>
          <w:spacing w:val="8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0"/>
          <w:szCs w:val="30"/>
        </w:rPr>
        <w:t>维修、保险等方面支出，主</w:t>
      </w:r>
      <w:r>
        <w:rPr>
          <w:rFonts w:hint="eastAsia" w:ascii="仿宋" w:hAnsi="仿宋" w:eastAsia="仿宋" w:cs="仿宋"/>
          <w:spacing w:val="7"/>
          <w:sz w:val="30"/>
          <w:szCs w:val="30"/>
        </w:rPr>
        <w:t>要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保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障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全县水上交通安全等</w:t>
      </w:r>
      <w:r>
        <w:rPr>
          <w:rFonts w:ascii="仿宋" w:hAnsi="仿宋" w:eastAsia="仿宋" w:cs="仿宋"/>
          <w:spacing w:val="6"/>
          <w:sz w:val="30"/>
          <w:szCs w:val="30"/>
        </w:rPr>
        <w:t>工作开展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spacing w:before="1" w:line="232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、政府性基金预算支出情况说明</w:t>
      </w:r>
    </w:p>
    <w:p>
      <w:pPr>
        <w:spacing w:before="190" w:line="345" w:lineRule="auto"/>
        <w:ind w:left="67" w:right="90" w:firstLine="609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年没有使用政府性基金预算拨款安排的支</w:t>
      </w:r>
      <w:r>
        <w:rPr>
          <w:rFonts w:ascii="仿宋" w:hAnsi="仿宋" w:eastAsia="仿宋" w:cs="仿宋"/>
          <w:spacing w:val="-23"/>
          <w:sz w:val="31"/>
          <w:szCs w:val="31"/>
        </w:rPr>
        <w:t>出</w:t>
      </w:r>
      <w:r>
        <w:rPr>
          <w:rFonts w:ascii="仿宋" w:hAnsi="仿宋" w:eastAsia="仿宋" w:cs="仿宋"/>
          <w:spacing w:val="-22"/>
          <w:sz w:val="31"/>
          <w:szCs w:val="31"/>
        </w:rPr>
        <w:t>。</w:t>
      </w:r>
    </w:p>
    <w:p>
      <w:pPr>
        <w:spacing w:before="1" w:line="235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</w:t>
      </w:r>
      <w:r>
        <w:rPr>
          <w:rFonts w:ascii="黑体" w:hAnsi="黑体" w:eastAsia="黑体" w:cs="黑体"/>
          <w:spacing w:val="9"/>
          <w:sz w:val="31"/>
          <w:szCs w:val="31"/>
        </w:rPr>
        <w:t>、国有资本经营预算情况说明</w:t>
      </w:r>
    </w:p>
    <w:p>
      <w:pPr>
        <w:spacing w:before="185" w:line="345" w:lineRule="auto"/>
        <w:ind w:left="35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10"/>
          <w:sz w:val="31"/>
          <w:szCs w:val="31"/>
        </w:rPr>
        <w:t>年没有使用国有资本经营预算拨款安排的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1" w:line="233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八</w:t>
      </w:r>
      <w:r>
        <w:rPr>
          <w:rFonts w:ascii="黑体" w:hAnsi="黑体" w:eastAsia="黑体" w:cs="黑体"/>
          <w:spacing w:val="10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其他重要事项的情况说明</w:t>
      </w:r>
    </w:p>
    <w:p>
      <w:pPr>
        <w:spacing w:before="188" w:line="231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机关运行经费情况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336" w:lineRule="auto"/>
        <w:ind w:firstLine="846" w:firstLineChars="300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4"/>
          <w:sz w:val="31"/>
          <w:szCs w:val="31"/>
        </w:rPr>
        <w:t>2022年</w:t>
      </w:r>
      <w:r>
        <w:rPr>
          <w:rFonts w:hint="eastAsia"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</w:t>
      </w:r>
      <w:r>
        <w:rPr>
          <w:rFonts w:hint="eastAsia"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的</w:t>
      </w:r>
      <w:r>
        <w:rPr>
          <w:rFonts w:hint="eastAsia"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机</w:t>
      </w:r>
      <w:r>
        <w:rPr>
          <w:rFonts w:hint="eastAsia"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关</w:t>
      </w:r>
      <w:r>
        <w:rPr>
          <w:rFonts w:hint="eastAsia"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运</w:t>
      </w:r>
      <w:r>
        <w:rPr>
          <w:rFonts w:hint="eastAsia"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行</w:t>
      </w:r>
      <w:r>
        <w:rPr>
          <w:rFonts w:hint="eastAsia"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经</w:t>
      </w:r>
      <w:r>
        <w:rPr>
          <w:rFonts w:hint="eastAsia"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费</w:t>
      </w:r>
      <w:r>
        <w:rPr>
          <w:rFonts w:hint="eastAsia"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财</w:t>
      </w:r>
      <w:r>
        <w:rPr>
          <w:rFonts w:hint="eastAsia"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政</w:t>
      </w:r>
      <w:r>
        <w:rPr>
          <w:rFonts w:hint="eastAsia"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拨</w:t>
      </w:r>
      <w:r>
        <w:rPr>
          <w:rFonts w:hint="eastAsia"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款</w:t>
      </w:r>
      <w:r>
        <w:rPr>
          <w:rFonts w:hint="eastAsia"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预</w:t>
      </w:r>
      <w:r>
        <w:rPr>
          <w:rFonts w:hint="eastAsia"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算</w:t>
      </w:r>
      <w:r>
        <w:rPr>
          <w:rFonts w:hint="eastAsia"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为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11.36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万元，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和</w:t>
      </w:r>
      <w:r>
        <w:rPr>
          <w:rFonts w:hint="eastAsia" w:ascii="仿宋" w:hAnsi="仿宋" w:eastAsia="仿宋" w:cs="仿宋"/>
          <w:spacing w:val="-2"/>
          <w:sz w:val="31"/>
          <w:szCs w:val="31"/>
        </w:rPr>
        <w:t>2021 年预算同口径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基本持平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>
      <w:pPr>
        <w:spacing w:before="130"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政府采购情况</w:t>
      </w:r>
    </w:p>
    <w:p>
      <w:pPr>
        <w:spacing w:before="191" w:line="345" w:lineRule="auto"/>
        <w:ind w:left="36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4"/>
          <w:sz w:val="31"/>
          <w:szCs w:val="31"/>
        </w:rPr>
        <w:t>年，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港航中心未</w:t>
      </w:r>
      <w:r>
        <w:rPr>
          <w:rFonts w:ascii="仿宋" w:hAnsi="仿宋" w:eastAsia="仿宋" w:cs="仿宋"/>
          <w:spacing w:val="-2"/>
          <w:sz w:val="31"/>
          <w:szCs w:val="31"/>
        </w:rPr>
        <w:t>安排政府采购预算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1" w:line="228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国有资产占有使用情况</w:t>
      </w:r>
    </w:p>
    <w:p>
      <w:pPr>
        <w:spacing w:before="196" w:line="354" w:lineRule="auto"/>
        <w:ind w:left="35" w:right="8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2"/>
          <w:sz w:val="31"/>
          <w:szCs w:val="31"/>
        </w:rPr>
        <w:t>年底，</w:t>
      </w:r>
      <w:r>
        <w:rPr>
          <w:rFonts w:hint="eastAsia"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共有车辆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辆，其中，省部级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导干部用车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辆、定向保障用车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辆、执法执勤用车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"/>
          <w:sz w:val="31"/>
          <w:szCs w:val="31"/>
        </w:rPr>
        <w:t>辆。单位</w:t>
      </w:r>
      <w:r>
        <w:rPr>
          <w:rFonts w:ascii="仿宋" w:hAnsi="仿宋" w:eastAsia="仿宋" w:cs="仿宋"/>
          <w:sz w:val="31"/>
          <w:szCs w:val="31"/>
        </w:rPr>
        <w:t xml:space="preserve">价值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200 </w:t>
      </w:r>
      <w:r>
        <w:rPr>
          <w:rFonts w:ascii="仿宋" w:hAnsi="仿宋" w:eastAsia="仿宋" w:cs="仿宋"/>
          <w:sz w:val="31"/>
          <w:szCs w:val="31"/>
        </w:rPr>
        <w:t xml:space="preserve">万元以上大型设备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z w:val="31"/>
          <w:szCs w:val="31"/>
        </w:rPr>
        <w:t>台。</w:t>
      </w:r>
    </w:p>
    <w:p>
      <w:pPr>
        <w:spacing w:before="196" w:line="354" w:lineRule="auto"/>
        <w:ind w:left="35" w:right="87" w:firstLine="64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年单位预算未安排购置车辆及单位价值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7"/>
          <w:sz w:val="31"/>
          <w:szCs w:val="31"/>
        </w:rPr>
        <w:t>万元以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上大型设备。</w:t>
      </w:r>
    </w:p>
    <w:p>
      <w:pPr>
        <w:spacing w:line="232" w:lineRule="auto"/>
        <w:ind w:left="692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预算绩效情况</w:t>
      </w:r>
    </w:p>
    <w:p>
      <w:pPr>
        <w:spacing w:before="190" w:line="349" w:lineRule="auto"/>
        <w:ind w:left="35" w:right="1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2022 年</w:t>
      </w:r>
      <w:r>
        <w:rPr>
          <w:rFonts w:hint="eastAsia"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港航中心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开展绩效目标管理的项目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2"/>
          <w:sz w:val="31"/>
          <w:szCs w:val="31"/>
        </w:rPr>
        <w:t>个，涉</w:t>
      </w:r>
      <w:r>
        <w:rPr>
          <w:rFonts w:ascii="仿宋" w:hAnsi="仿宋" w:eastAsia="仿宋" w:cs="仿宋"/>
          <w:spacing w:val="1"/>
          <w:sz w:val="31"/>
          <w:szCs w:val="31"/>
        </w:rPr>
        <w:t>及</w:t>
      </w:r>
      <w:r>
        <w:rPr>
          <w:rFonts w:ascii="仿宋" w:hAnsi="仿宋" w:eastAsia="仿宋" w:cs="仿宋"/>
          <w:sz w:val="31"/>
          <w:szCs w:val="31"/>
        </w:rPr>
        <w:t>预</w:t>
      </w:r>
      <w:r>
        <w:rPr>
          <w:rFonts w:ascii="仿宋" w:hAnsi="仿宋" w:eastAsia="仿宋" w:cs="仿宋"/>
          <w:spacing w:val="-20"/>
          <w:sz w:val="31"/>
          <w:szCs w:val="31"/>
        </w:rPr>
        <w:t>算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万元。</w:t>
      </w:r>
    </w:p>
    <w:p>
      <w:pPr>
        <w:sectPr>
          <w:footerReference r:id="rId21" w:type="default"/>
          <w:pgSz w:w="11906" w:h="16839"/>
          <w:pgMar w:top="1431" w:right="1785" w:bottom="855" w:left="1785" w:header="0" w:footer="575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223" w:line="212" w:lineRule="auto"/>
        <w:ind w:left="1834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8"/>
          <w:sz w:val="52"/>
          <w:szCs w:val="52"/>
        </w:rPr>
        <w:t>第四</w:t>
      </w:r>
      <w:r>
        <w:rPr>
          <w:rFonts w:ascii="微软雅黑" w:hAnsi="微软雅黑" w:eastAsia="微软雅黑" w:cs="微软雅黑"/>
          <w:spacing w:val="4"/>
          <w:sz w:val="52"/>
          <w:szCs w:val="52"/>
        </w:rPr>
        <w:t>部分   名词解释</w:t>
      </w:r>
    </w:p>
    <w:p>
      <w:pPr>
        <w:sectPr>
          <w:footerReference r:id="rId22" w:type="default"/>
          <w:pgSz w:w="11906" w:h="16839"/>
          <w:pgMar w:top="1431" w:right="1785" w:bottom="855" w:left="1785" w:header="0" w:footer="572" w:gutter="0"/>
          <w:cols w:space="720" w:num="1"/>
        </w:sectPr>
      </w:pPr>
    </w:p>
    <w:p>
      <w:pPr>
        <w:spacing w:before="161" w:line="372" w:lineRule="auto"/>
        <w:ind w:left="51" w:right="14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) 一般公共预算拨款收入：指省级财政当年拨付的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资</w:t>
      </w:r>
      <w:r>
        <w:rPr>
          <w:rFonts w:ascii="仿宋" w:hAnsi="仿宋" w:eastAsia="仿宋" w:cs="仿宋"/>
          <w:spacing w:val="-6"/>
          <w:sz w:val="31"/>
          <w:szCs w:val="31"/>
        </w:rPr>
        <w:t>金。</w:t>
      </w:r>
    </w:p>
    <w:p>
      <w:pPr>
        <w:spacing w:before="2" w:line="371" w:lineRule="auto"/>
        <w:ind w:left="35" w:right="1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上年结转：指以前年度尚未完成，结转到本年仍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9"/>
          <w:sz w:val="31"/>
          <w:szCs w:val="31"/>
        </w:rPr>
        <w:t>原</w:t>
      </w:r>
      <w:r>
        <w:rPr>
          <w:rFonts w:ascii="仿宋" w:hAnsi="仿宋" w:eastAsia="仿宋" w:cs="仿宋"/>
          <w:spacing w:val="7"/>
          <w:sz w:val="31"/>
          <w:szCs w:val="31"/>
        </w:rPr>
        <w:t>规定用途继续使用的资金。</w:t>
      </w:r>
    </w:p>
    <w:p>
      <w:pPr>
        <w:spacing w:before="3" w:line="371" w:lineRule="auto"/>
        <w:ind w:left="36" w:right="14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 xml:space="preserve">(三) </w:t>
      </w:r>
      <w:r>
        <w:rPr>
          <w:rFonts w:ascii="仿宋" w:hAnsi="仿宋" w:eastAsia="仿宋" w:cs="仿宋"/>
          <w:spacing w:val="11"/>
          <w:sz w:val="31"/>
          <w:szCs w:val="31"/>
        </w:rPr>
        <w:t>教育 (类) 进修及培训 (款) 培训支出 (项) 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8"/>
          <w:sz w:val="31"/>
          <w:szCs w:val="31"/>
        </w:rPr>
        <w:t>用于在职人员参加相关业务培训经费支出。</w:t>
      </w:r>
    </w:p>
    <w:p>
      <w:pPr>
        <w:spacing w:before="2" w:line="371" w:lineRule="auto"/>
        <w:ind w:left="37" w:firstLine="5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hint="eastAsia" w:ascii="仿宋" w:hAnsi="仿宋" w:eastAsia="仿宋" w:cs="仿宋"/>
          <w:spacing w:val="40"/>
          <w:sz w:val="31"/>
          <w:szCs w:val="31"/>
          <w:lang w:val="en-US" w:eastAsia="zh-CN"/>
        </w:rPr>
        <w:t>四</w:t>
      </w:r>
      <w:r>
        <w:rPr>
          <w:rFonts w:ascii="仿宋" w:hAnsi="仿宋" w:eastAsia="仿宋" w:cs="仿宋"/>
          <w:spacing w:val="22"/>
          <w:sz w:val="31"/>
          <w:szCs w:val="31"/>
        </w:rPr>
        <w:t>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行政单位离退休 (项) ：用于单位离退休人员的支出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" w:line="378" w:lineRule="auto"/>
        <w:ind w:left="35" w:firstLine="546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</w:t>
      </w:r>
      <w:r>
        <w:rPr>
          <w:rFonts w:hint="eastAsia" w:ascii="仿宋" w:hAnsi="仿宋" w:eastAsia="仿宋" w:cs="仿宋"/>
          <w:spacing w:val="40"/>
          <w:sz w:val="31"/>
          <w:szCs w:val="31"/>
          <w:lang w:val="en-US" w:eastAsia="zh-CN"/>
        </w:rPr>
        <w:t>五</w:t>
      </w:r>
      <w:r>
        <w:rPr>
          <w:rFonts w:ascii="仿宋" w:hAnsi="仿宋" w:eastAsia="仿宋" w:cs="仿宋"/>
          <w:spacing w:val="22"/>
          <w:sz w:val="31"/>
          <w:szCs w:val="31"/>
        </w:rPr>
        <w:t>)社会保障和就业(类)行政事业单位养老支出(款)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机</w:t>
      </w:r>
      <w:r>
        <w:rPr>
          <w:rFonts w:ascii="仿宋" w:hAnsi="仿宋" w:eastAsia="仿宋" w:cs="仿宋"/>
          <w:spacing w:val="8"/>
          <w:sz w:val="31"/>
          <w:szCs w:val="31"/>
        </w:rPr>
        <w:t>关事业单位基本养老保险缴费支出 (项) ：用于单位缴纳</w:t>
      </w:r>
      <w:r>
        <w:rPr>
          <w:rFonts w:ascii="仿宋" w:hAnsi="仿宋" w:eastAsia="仿宋" w:cs="仿宋"/>
          <w:spacing w:val="6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养老保险的支出。</w:t>
      </w:r>
    </w:p>
    <w:p>
      <w:pPr>
        <w:spacing w:before="2" w:line="378" w:lineRule="auto"/>
        <w:ind w:left="35" w:firstLine="5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23"/>
          <w:sz w:val="31"/>
          <w:szCs w:val="31"/>
          <w:lang w:val="en-US" w:eastAsia="zh-CN"/>
        </w:rPr>
        <w:t>六</w:t>
      </w:r>
      <w:r>
        <w:rPr>
          <w:rFonts w:ascii="仿宋" w:hAnsi="仿宋" w:eastAsia="仿宋" w:cs="仿宋"/>
          <w:spacing w:val="12"/>
          <w:sz w:val="31"/>
          <w:szCs w:val="31"/>
        </w:rPr>
        <w:t>) 卫生健康 (类) 行政事业单位医疗 (款) 行政单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位医疗 (项) ：用于单位缴纳基本医疗保险支出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spacing w:before="2" w:line="371" w:lineRule="auto"/>
        <w:ind w:left="60" w:right="13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hint="eastAsia" w:ascii="仿宋" w:hAnsi="仿宋" w:eastAsia="仿宋" w:cs="仿宋"/>
          <w:spacing w:val="21"/>
          <w:sz w:val="31"/>
          <w:szCs w:val="31"/>
          <w:lang w:val="en-US" w:eastAsia="zh-CN"/>
        </w:rPr>
        <w:t>七</w:t>
      </w:r>
      <w:r>
        <w:rPr>
          <w:rFonts w:ascii="仿宋" w:hAnsi="仿宋" w:eastAsia="仿宋" w:cs="仿宋"/>
          <w:spacing w:val="12"/>
          <w:sz w:val="31"/>
          <w:szCs w:val="31"/>
        </w:rPr>
        <w:t>) 卫生健康 (类) 行政事业单位医疗 (款) 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员</w:t>
      </w:r>
      <w:r>
        <w:rPr>
          <w:rFonts w:ascii="仿宋" w:hAnsi="仿宋" w:eastAsia="仿宋" w:cs="仿宋"/>
          <w:spacing w:val="7"/>
          <w:sz w:val="31"/>
          <w:szCs w:val="31"/>
        </w:rPr>
        <w:t>医疗补助 (项) ：用于集中缴纳公务员医疗补助支出。</w:t>
      </w:r>
    </w:p>
    <w:p>
      <w:pPr>
        <w:spacing w:before="3" w:line="371" w:lineRule="auto"/>
        <w:ind w:left="35" w:right="11" w:firstLine="645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八</w:t>
      </w:r>
      <w:r>
        <w:rPr>
          <w:rFonts w:ascii="仿宋" w:hAnsi="仿宋" w:eastAsia="仿宋" w:cs="仿宋"/>
          <w:spacing w:val="12"/>
          <w:sz w:val="31"/>
          <w:szCs w:val="31"/>
        </w:rPr>
        <w:t>) 住房保障 (类) 住房改革支出 (款) 住房公积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金 (项) ：</w:t>
      </w:r>
      <w:r>
        <w:rPr>
          <w:rFonts w:ascii="仿宋" w:hAnsi="仿宋" w:eastAsia="仿宋" w:cs="仿宋"/>
          <w:spacing w:val="2"/>
          <w:sz w:val="31"/>
          <w:szCs w:val="31"/>
        </w:rPr>
        <w:t>指按照《住房公积金管理条例》的规定， 由单位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及其在职职工缴存的长期住房储金。</w:t>
      </w:r>
    </w:p>
    <w:p>
      <w:pPr>
        <w:spacing w:before="3" w:line="371" w:lineRule="auto"/>
        <w:ind w:left="35" w:right="11" w:firstLine="645"/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spacing w:val="23"/>
          <w:sz w:val="31"/>
          <w:szCs w:val="31"/>
          <w:lang w:val="en-US" w:eastAsia="zh-CN"/>
        </w:rPr>
        <w:t>九</w:t>
      </w:r>
      <w:r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交通运输支出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公路水路运输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（款）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海事管理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（项）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指日常人员经费支出、公用经费支出等。</w:t>
      </w:r>
    </w:p>
    <w:p>
      <w:pPr>
        <w:spacing w:before="2" w:line="371" w:lineRule="auto"/>
        <w:ind w:left="42" w:right="1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十) 基本支出：指为保证机构正常运转，完成日常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13"/>
          <w:sz w:val="31"/>
          <w:szCs w:val="31"/>
        </w:rPr>
        <w:t>作</w:t>
      </w:r>
      <w:r>
        <w:rPr>
          <w:rFonts w:ascii="仿宋" w:hAnsi="仿宋" w:eastAsia="仿宋" w:cs="仿宋"/>
          <w:spacing w:val="7"/>
          <w:sz w:val="31"/>
          <w:szCs w:val="31"/>
        </w:rPr>
        <w:t>任务而发生的人员支出和公用支出。</w:t>
      </w:r>
    </w:p>
    <w:p>
      <w:pPr>
        <w:spacing w:before="2" w:line="371" w:lineRule="auto"/>
        <w:ind w:left="35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一</w:t>
      </w:r>
      <w:r>
        <w:rPr>
          <w:rFonts w:ascii="仿宋" w:hAnsi="仿宋" w:eastAsia="仿宋" w:cs="仿宋"/>
          <w:spacing w:val="14"/>
          <w:sz w:val="31"/>
          <w:szCs w:val="31"/>
        </w:rPr>
        <w:t>) 项目支出：指在基本支出之外为完成特定行政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任务和事业发展目标所发生的支出。</w:t>
      </w:r>
    </w:p>
    <w:p>
      <w:pPr>
        <w:spacing w:line="374" w:lineRule="auto"/>
        <w:ind w:left="35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)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经费：纳入财政厅预算管理的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“</w:t>
      </w:r>
      <w:r>
        <w:rPr>
          <w:rFonts w:ascii="仿宋" w:hAnsi="仿宋" w:eastAsia="仿宋" w:cs="仿宋"/>
          <w:spacing w:val="1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”</w:t>
      </w:r>
      <w:r>
        <w:rPr>
          <w:rFonts w:ascii="仿宋" w:hAnsi="仿宋" w:eastAsia="仿宋" w:cs="仿宋"/>
          <w:spacing w:val="15"/>
          <w:sz w:val="31"/>
          <w:szCs w:val="31"/>
        </w:rPr>
        <w:t>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，是指部门用财政拨款安排的因公出国 (境) 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8"/>
          <w:sz w:val="31"/>
          <w:szCs w:val="31"/>
        </w:rPr>
        <w:t>购置及运行费和公务接待费。其中，因公出国 (境) 费反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映</w:t>
      </w:r>
      <w:r>
        <w:rPr>
          <w:rFonts w:ascii="仿宋" w:hAnsi="仿宋" w:eastAsia="仿宋" w:cs="仿宋"/>
          <w:spacing w:val="8"/>
          <w:sz w:val="31"/>
          <w:szCs w:val="31"/>
        </w:rPr>
        <w:t>单位公务出国 (境) 的国际旅费、国外城市间交通费、住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宿费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伙食费、培训费、公杂费等支出；公务用车购置及运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行费反映单位公务用车车辆购置支出 (含车辆购置税) 及</w:t>
      </w:r>
      <w:r>
        <w:rPr>
          <w:rFonts w:ascii="仿宋" w:hAnsi="仿宋" w:eastAsia="仿宋" w:cs="仿宋"/>
          <w:spacing w:val="6"/>
          <w:sz w:val="31"/>
          <w:szCs w:val="31"/>
        </w:rPr>
        <w:t>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用</w:t>
      </w:r>
      <w:r>
        <w:rPr>
          <w:rFonts w:ascii="仿宋" w:hAnsi="仿宋" w:eastAsia="仿宋" w:cs="仿宋"/>
          <w:spacing w:val="14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、燃料费、维修费、过路过桥费、保险费等支出；公务</w:t>
      </w:r>
      <w:r>
        <w:rPr>
          <w:rFonts w:ascii="仿宋" w:hAnsi="仿宋" w:eastAsia="仿宋" w:cs="仿宋"/>
          <w:spacing w:val="14"/>
          <w:sz w:val="31"/>
          <w:szCs w:val="31"/>
        </w:rPr>
        <w:t>接待费</w:t>
      </w:r>
      <w:r>
        <w:rPr>
          <w:rFonts w:ascii="仿宋" w:hAnsi="仿宋" w:eastAsia="仿宋" w:cs="仿宋"/>
          <w:spacing w:val="7"/>
          <w:sz w:val="31"/>
          <w:szCs w:val="31"/>
        </w:rPr>
        <w:t>反映单位按规定开支的各类公务接待 (含外宾接待)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>
      <w:pPr>
        <w:spacing w:before="7" w:line="373" w:lineRule="auto"/>
        <w:ind w:left="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三</w:t>
      </w:r>
      <w:r>
        <w:rPr>
          <w:rFonts w:ascii="仿宋" w:hAnsi="仿宋" w:eastAsia="仿宋" w:cs="仿宋"/>
          <w:spacing w:val="14"/>
          <w:sz w:val="31"/>
          <w:szCs w:val="31"/>
        </w:rPr>
        <w:t>) 机关运行经费：为保障行政单位 (包括参照</w:t>
      </w:r>
      <w:r>
        <w:rPr>
          <w:rFonts w:ascii="仿宋" w:hAnsi="仿宋" w:eastAsia="仿宋" w:cs="仿宋"/>
          <w:spacing w:val="9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务</w:t>
      </w:r>
      <w:r>
        <w:rPr>
          <w:rFonts w:ascii="仿宋" w:hAnsi="仿宋" w:eastAsia="仿宋" w:cs="仿宋"/>
          <w:spacing w:val="9"/>
          <w:sz w:val="31"/>
          <w:szCs w:val="31"/>
        </w:rPr>
        <w:t>员</w:t>
      </w:r>
      <w:r>
        <w:rPr>
          <w:rFonts w:ascii="仿宋" w:hAnsi="仿宋" w:eastAsia="仿宋" w:cs="仿宋"/>
          <w:spacing w:val="8"/>
          <w:sz w:val="31"/>
          <w:szCs w:val="31"/>
        </w:rPr>
        <w:t>法管理的事业单位) 运行用于购买货物和服务的各项资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金，包括办公及印刷费、邮电费、差旅费</w:t>
      </w:r>
      <w:r>
        <w:rPr>
          <w:rFonts w:ascii="仿宋" w:hAnsi="仿宋" w:eastAsia="仿宋" w:cs="仿宋"/>
          <w:sz w:val="31"/>
          <w:szCs w:val="31"/>
        </w:rPr>
        <w:t xml:space="preserve">、会议费、培训费、 </w:t>
      </w:r>
      <w:r>
        <w:rPr>
          <w:rFonts w:ascii="仿宋" w:hAnsi="仿宋" w:eastAsia="仿宋" w:cs="仿宋"/>
          <w:spacing w:val="4"/>
          <w:sz w:val="31"/>
          <w:szCs w:val="31"/>
        </w:rPr>
        <w:t>福利费、 日常维</w:t>
      </w:r>
      <w:r>
        <w:rPr>
          <w:rFonts w:ascii="仿宋" w:hAnsi="仿宋" w:eastAsia="仿宋" w:cs="仿宋"/>
          <w:spacing w:val="2"/>
          <w:sz w:val="31"/>
          <w:szCs w:val="31"/>
        </w:rPr>
        <w:t>修费、专用材料及一般设备购置费、办公用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房水</w:t>
      </w:r>
      <w:r>
        <w:rPr>
          <w:rFonts w:ascii="仿宋" w:hAnsi="仿宋" w:eastAsia="仿宋" w:cs="仿宋"/>
          <w:spacing w:val="9"/>
          <w:sz w:val="31"/>
          <w:szCs w:val="31"/>
        </w:rPr>
        <w:t>电</w:t>
      </w:r>
      <w:r>
        <w:rPr>
          <w:rFonts w:ascii="仿宋" w:hAnsi="仿宋" w:eastAsia="仿宋" w:cs="仿宋"/>
          <w:spacing w:val="8"/>
          <w:sz w:val="31"/>
          <w:szCs w:val="31"/>
        </w:rPr>
        <w:t>费、办公用房取暖费、办公用房物业管理费、公务用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车</w:t>
      </w:r>
      <w:r>
        <w:rPr>
          <w:rFonts w:ascii="仿宋" w:hAnsi="仿宋" w:eastAsia="仿宋" w:cs="仿宋"/>
          <w:spacing w:val="7"/>
          <w:sz w:val="31"/>
          <w:szCs w:val="31"/>
        </w:rPr>
        <w:t>运行维护费以及其他费用。</w:t>
      </w:r>
    </w:p>
    <w:sectPr>
      <w:footerReference r:id="rId23" w:type="default"/>
      <w:pgSz w:w="11906" w:h="16839"/>
      <w:pgMar w:top="1431" w:right="1696" w:bottom="855" w:left="1785" w:header="0" w:footer="5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82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14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16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17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658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2DWsU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2zYNax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26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382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4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376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6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7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B3E4A"/>
    <w:multiLevelType w:val="singleLevel"/>
    <w:tmpl w:val="872B3E4A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88B8A3BC"/>
    <w:multiLevelType w:val="singleLevel"/>
    <w:tmpl w:val="88B8A3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9572123"/>
    <w:multiLevelType w:val="singleLevel"/>
    <w:tmpl w:val="C95721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D195D30"/>
    <w:rsid w:val="0EBA6064"/>
    <w:rsid w:val="16C67DA0"/>
    <w:rsid w:val="16C85248"/>
    <w:rsid w:val="196631A4"/>
    <w:rsid w:val="1E946571"/>
    <w:rsid w:val="25ED0515"/>
    <w:rsid w:val="26E32875"/>
    <w:rsid w:val="27B567AF"/>
    <w:rsid w:val="2B5E0EAB"/>
    <w:rsid w:val="33CD12E2"/>
    <w:rsid w:val="34F07908"/>
    <w:rsid w:val="47455972"/>
    <w:rsid w:val="4BBA7CAA"/>
    <w:rsid w:val="56576B21"/>
    <w:rsid w:val="5A545181"/>
    <w:rsid w:val="5BE7286D"/>
    <w:rsid w:val="696F5C3D"/>
    <w:rsid w:val="6B8B0F4D"/>
    <w:rsid w:val="75013505"/>
    <w:rsid w:val="76301724"/>
    <w:rsid w:val="79473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71"/>
    <w:basedOn w:val="4"/>
    <w:uiPriority w:val="0"/>
    <w:rPr>
      <w:rFonts w:hint="default" w:ascii="Times New Roman" w:hAnsi="Times New Roman" w:eastAsia="楷体_GB2312" w:cs="Times New Roman"/>
      <w:sz w:val="28"/>
      <w:szCs w:val="24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〖C01〗正文"/>
    <w:basedOn w:val="1"/>
    <w:qFormat/>
    <w:uiPriority w:val="0"/>
    <w:pPr>
      <w:topLinePunct/>
      <w:spacing w:line="600" w:lineRule="exact"/>
      <w:ind w:firstLine="640" w:firstLineChars="200"/>
    </w:pPr>
    <w:rPr>
      <w:rFonts w:ascii="仿宋_GB2312" w:hAnsi="Calibri" w:eastAsia="仿宋_GB2312"/>
      <w:sz w:val="32"/>
      <w:szCs w:val="32"/>
    </w:rPr>
  </w:style>
  <w:style w:type="character" w:customStyle="1" w:styleId="10">
    <w:name w:val="font0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Office_11.1.0.8214_F1E327BC-269C-435d-A152-05C5408002CA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2022-03-11T14:30:00Z</dcterms:created>
  <dc:creator>user</dc:creator>
  <cp:lastModifiedBy>Administrator</cp:lastModifiedBy>
  <dcterms:modified xsi:type="dcterms:W3CDTF">2022-05-26T07:08:13Z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2022-05-09T10:30:32Z</vt:filetime>
  </property>
  <property fmtid="{D5CDD505-2E9C-101B-9397-08002B2CF9AE}" pid="4" name="KSOProductBuildVer">
    <vt:lpwstr>2052-11.1.0.8214</vt:lpwstr>
  </property>
  <property fmtid="{D5CDD505-2E9C-101B-9397-08002B2CF9AE}" pid="5" name="ICV">
    <vt:lpwstr>219BDA96431D41CC8AF7822A5073FFAD</vt:lpwstr>
  </property>
</Properties>
</file>