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val="0"/>
        <w:shd w:val="clear" w:color="auto" w:fill="auto"/>
        <w:bidi w:val="0"/>
        <w:spacing w:before="0" w:after="0" w:line="240" w:lineRule="auto"/>
        <w:ind w:left="0" w:right="0" w:firstLine="0"/>
        <w:jc w:val="center"/>
        <w:sectPr>
          <w:footerReference r:id="rId5" w:type="default"/>
          <w:footerReference r:id="rId6" w:type="even"/>
          <w:footnotePr>
            <w:numFmt w:val="decimal"/>
          </w:footnotePr>
          <w:pgSz w:w="11900" w:h="16840"/>
          <w:pgMar w:top="5689" w:right="1618" w:bottom="5689" w:left="2203" w:header="5261" w:footer="3" w:gutter="0"/>
          <w:pgNumType w:start="1"/>
          <w:cols w:space="720" w:num="1"/>
          <w:rtlGutter w:val="0"/>
          <w:docGrid w:linePitch="360" w:charSpace="0"/>
        </w:sectPr>
      </w:pPr>
      <w:r>
        <w:rPr>
          <w:rFonts w:hint="eastAsia"/>
          <w:color w:val="000000"/>
          <w:spacing w:val="0"/>
          <w:w w:val="100"/>
          <w:position w:val="0"/>
          <w:lang w:eastAsia="zh-CN"/>
        </w:rPr>
        <w:t>夹江县交通运输局机关</w:t>
      </w:r>
      <w:r>
        <w:rPr>
          <w:color w:val="000000"/>
          <w:spacing w:val="0"/>
          <w:w w:val="100"/>
          <w:position w:val="0"/>
        </w:rPr>
        <w:t>2022年部门预算</w:t>
      </w:r>
    </w:p>
    <w:p>
      <w:pPr>
        <w:pStyle w:val="11"/>
        <w:keepNext w:val="0"/>
        <w:keepLines w:val="0"/>
        <w:widowControl w:val="0"/>
        <w:shd w:val="clear" w:color="auto" w:fill="auto"/>
        <w:bidi w:val="0"/>
        <w:spacing w:before="0" w:after="0" w:line="533" w:lineRule="exact"/>
        <w:ind w:left="0" w:right="0" w:firstLine="0"/>
        <w:jc w:val="center"/>
      </w:pPr>
      <w:r>
        <w:rPr>
          <w:b/>
          <w:bCs/>
          <w:color w:val="000000"/>
          <w:spacing w:val="0"/>
          <w:w w:val="100"/>
          <w:position w:val="0"/>
        </w:rPr>
        <w:t>目录</w:t>
      </w:r>
    </w:p>
    <w:p>
      <w:pPr>
        <w:pStyle w:val="11"/>
        <w:keepNext w:val="0"/>
        <w:keepLines w:val="0"/>
        <w:widowControl w:val="0"/>
        <w:shd w:val="clear" w:color="auto" w:fill="auto"/>
        <w:bidi w:val="0"/>
        <w:spacing w:before="0" w:after="0" w:line="533" w:lineRule="exact"/>
        <w:ind w:left="0" w:right="0" w:firstLine="0"/>
        <w:jc w:val="left"/>
      </w:pPr>
      <w:r>
        <w:rPr>
          <w:b/>
          <w:bCs/>
          <w:color w:val="000000"/>
          <w:spacing w:val="0"/>
          <w:w w:val="100"/>
          <w:position w:val="0"/>
        </w:rPr>
        <w:t>第一部分</w:t>
      </w:r>
      <w:r>
        <w:rPr>
          <w:rFonts w:hint="eastAsia"/>
          <w:b/>
          <w:bCs/>
          <w:color w:val="000000"/>
          <w:spacing w:val="0"/>
          <w:w w:val="100"/>
          <w:position w:val="0"/>
          <w:lang w:eastAsia="zh-CN"/>
        </w:rPr>
        <w:t>夹江县交通运输局</w:t>
      </w:r>
      <w:r>
        <w:rPr>
          <w:b/>
          <w:bCs/>
          <w:color w:val="000000"/>
          <w:spacing w:val="0"/>
          <w:w w:val="100"/>
          <w:position w:val="0"/>
        </w:rPr>
        <w:t>概况</w:t>
      </w:r>
    </w:p>
    <w:p>
      <w:pPr>
        <w:pStyle w:val="11"/>
        <w:keepNext w:val="0"/>
        <w:keepLines w:val="0"/>
        <w:widowControl w:val="0"/>
        <w:shd w:val="clear" w:color="auto" w:fill="auto"/>
        <w:tabs>
          <w:tab w:val="left" w:pos="650"/>
        </w:tabs>
        <w:bidi w:val="0"/>
        <w:spacing w:before="0" w:after="0" w:line="533" w:lineRule="exact"/>
        <w:ind w:left="0" w:right="0" w:firstLine="0"/>
        <w:jc w:val="left"/>
      </w:pPr>
      <w:bookmarkStart w:id="0" w:name="bookmark0"/>
      <w:r>
        <w:rPr>
          <w:color w:val="000000"/>
          <w:spacing w:val="0"/>
          <w:w w:val="100"/>
          <w:position w:val="0"/>
        </w:rPr>
        <w:t>一</w:t>
      </w:r>
      <w:bookmarkEnd w:id="0"/>
      <w:r>
        <w:rPr>
          <w:color w:val="000000"/>
          <w:spacing w:val="0"/>
          <w:w w:val="100"/>
          <w:position w:val="0"/>
        </w:rPr>
        <w:t>、</w:t>
      </w:r>
      <w:r>
        <w:rPr>
          <w:color w:val="000000"/>
          <w:spacing w:val="0"/>
          <w:w w:val="100"/>
          <w:position w:val="0"/>
        </w:rPr>
        <w:tab/>
      </w:r>
      <w:r>
        <w:rPr>
          <w:color w:val="000000"/>
          <w:spacing w:val="0"/>
          <w:w w:val="100"/>
          <w:position w:val="0"/>
        </w:rPr>
        <w:t>基本职能及主要工作</w:t>
      </w:r>
    </w:p>
    <w:p>
      <w:pPr>
        <w:pStyle w:val="11"/>
        <w:keepNext w:val="0"/>
        <w:keepLines w:val="0"/>
        <w:widowControl w:val="0"/>
        <w:shd w:val="clear" w:color="auto" w:fill="auto"/>
        <w:tabs>
          <w:tab w:val="left" w:pos="650"/>
        </w:tabs>
        <w:bidi w:val="0"/>
        <w:spacing w:before="0" w:after="0" w:line="533" w:lineRule="exact"/>
        <w:ind w:left="0" w:right="0" w:firstLine="0"/>
        <w:jc w:val="left"/>
      </w:pPr>
      <w:bookmarkStart w:id="1" w:name="bookmark1"/>
      <w:r>
        <w:rPr>
          <w:color w:val="000000"/>
          <w:spacing w:val="0"/>
          <w:w w:val="100"/>
          <w:position w:val="0"/>
        </w:rPr>
        <w:t>二</w:t>
      </w:r>
      <w:bookmarkEnd w:id="1"/>
      <w:r>
        <w:rPr>
          <w:color w:val="000000"/>
          <w:spacing w:val="0"/>
          <w:w w:val="100"/>
          <w:position w:val="0"/>
        </w:rPr>
        <w:t>、</w:t>
      </w:r>
      <w:r>
        <w:rPr>
          <w:color w:val="000000"/>
          <w:spacing w:val="0"/>
          <w:w w:val="100"/>
          <w:position w:val="0"/>
        </w:rPr>
        <w:tab/>
      </w:r>
      <w:r>
        <w:rPr>
          <w:color w:val="000000"/>
          <w:spacing w:val="0"/>
          <w:w w:val="100"/>
          <w:position w:val="0"/>
        </w:rPr>
        <w:t>部门预算单位构成</w:t>
      </w:r>
    </w:p>
    <w:p>
      <w:pPr>
        <w:pStyle w:val="11"/>
        <w:keepNext w:val="0"/>
        <w:keepLines w:val="0"/>
        <w:widowControl w:val="0"/>
        <w:shd w:val="clear" w:color="auto" w:fill="auto"/>
        <w:bidi w:val="0"/>
        <w:spacing w:before="0" w:after="0" w:line="533" w:lineRule="exact"/>
        <w:ind w:left="0" w:right="0" w:firstLine="0"/>
        <w:jc w:val="left"/>
      </w:pPr>
      <w:r>
        <w:rPr>
          <w:b/>
          <w:bCs/>
          <w:color w:val="000000"/>
          <w:spacing w:val="0"/>
          <w:w w:val="100"/>
          <w:position w:val="0"/>
        </w:rPr>
        <w:t>第二部分</w:t>
      </w:r>
      <w:r>
        <w:rPr>
          <w:rFonts w:hint="eastAsia"/>
          <w:b/>
          <w:bCs/>
          <w:color w:val="000000"/>
          <w:spacing w:val="0"/>
          <w:w w:val="100"/>
          <w:position w:val="0"/>
          <w:lang w:eastAsia="zh-CN"/>
        </w:rPr>
        <w:t>夹江县交通运输局</w:t>
      </w:r>
      <w:r>
        <w:rPr>
          <w:rFonts w:ascii="Times New Roman" w:hAnsi="Times New Roman" w:eastAsia="Times New Roman" w:cs="Times New Roman"/>
          <w:b/>
          <w:bCs/>
          <w:color w:val="000000"/>
          <w:spacing w:val="0"/>
          <w:w w:val="100"/>
          <w:position w:val="0"/>
          <w:sz w:val="34"/>
          <w:szCs w:val="34"/>
        </w:rPr>
        <w:t>2022</w:t>
      </w:r>
      <w:r>
        <w:rPr>
          <w:b/>
          <w:bCs/>
          <w:color w:val="000000"/>
          <w:spacing w:val="0"/>
          <w:w w:val="100"/>
          <w:position w:val="0"/>
        </w:rPr>
        <w:t>年部门预算表</w:t>
      </w:r>
    </w:p>
    <w:p>
      <w:pPr>
        <w:pStyle w:val="11"/>
        <w:keepNext w:val="0"/>
        <w:keepLines w:val="0"/>
        <w:widowControl w:val="0"/>
        <w:shd w:val="clear" w:color="auto" w:fill="auto"/>
        <w:tabs>
          <w:tab w:val="left" w:pos="650"/>
        </w:tabs>
        <w:bidi w:val="0"/>
        <w:spacing w:before="0" w:after="0" w:line="533" w:lineRule="exact"/>
        <w:ind w:left="0" w:right="0" w:firstLine="0"/>
        <w:jc w:val="left"/>
      </w:pPr>
      <w:bookmarkStart w:id="2" w:name="bookmark2"/>
      <w:r>
        <w:rPr>
          <w:color w:val="000000"/>
          <w:spacing w:val="0"/>
          <w:w w:val="100"/>
          <w:position w:val="0"/>
        </w:rPr>
        <w:t>一</w:t>
      </w:r>
      <w:bookmarkEnd w:id="2"/>
      <w:r>
        <w:rPr>
          <w:color w:val="000000"/>
          <w:spacing w:val="0"/>
          <w:w w:val="100"/>
          <w:position w:val="0"/>
        </w:rPr>
        <w:t>、</w:t>
      </w:r>
      <w:r>
        <w:rPr>
          <w:color w:val="000000"/>
          <w:spacing w:val="0"/>
          <w:w w:val="100"/>
          <w:position w:val="0"/>
        </w:rPr>
        <w:tab/>
      </w:r>
      <w:r>
        <w:rPr>
          <w:color w:val="000000"/>
          <w:spacing w:val="0"/>
          <w:w w:val="100"/>
          <w:position w:val="0"/>
        </w:rPr>
        <w:t>部门收支总表（公开表1）</w:t>
      </w:r>
    </w:p>
    <w:p>
      <w:pPr>
        <w:pStyle w:val="11"/>
        <w:keepNext w:val="0"/>
        <w:keepLines w:val="0"/>
        <w:widowControl w:val="0"/>
        <w:shd w:val="clear" w:color="auto" w:fill="auto"/>
        <w:tabs>
          <w:tab w:val="left" w:pos="650"/>
        </w:tabs>
        <w:bidi w:val="0"/>
        <w:spacing w:before="0" w:after="0" w:line="533" w:lineRule="exact"/>
        <w:ind w:left="0" w:right="0" w:firstLine="0"/>
        <w:jc w:val="left"/>
      </w:pPr>
      <w:bookmarkStart w:id="3" w:name="bookmark3"/>
      <w:r>
        <w:rPr>
          <w:color w:val="000000"/>
          <w:spacing w:val="0"/>
          <w:w w:val="100"/>
          <w:position w:val="0"/>
        </w:rPr>
        <w:t>二</w:t>
      </w:r>
      <w:bookmarkEnd w:id="3"/>
      <w:r>
        <w:rPr>
          <w:color w:val="000000"/>
          <w:spacing w:val="0"/>
          <w:w w:val="100"/>
          <w:position w:val="0"/>
        </w:rPr>
        <w:t>、</w:t>
      </w:r>
      <w:r>
        <w:rPr>
          <w:color w:val="000000"/>
          <w:spacing w:val="0"/>
          <w:w w:val="100"/>
          <w:position w:val="0"/>
        </w:rPr>
        <w:tab/>
      </w:r>
      <w:r>
        <w:rPr>
          <w:color w:val="000000"/>
          <w:spacing w:val="0"/>
          <w:w w:val="100"/>
          <w:position w:val="0"/>
        </w:rPr>
        <w:t>部门收入总表（公开表</w:t>
      </w:r>
      <w:r>
        <w:rPr>
          <w:color w:val="000000"/>
          <w:spacing w:val="0"/>
          <w:w w:val="100"/>
          <w:position w:val="0"/>
          <w:lang w:val="en-US" w:eastAsia="en-US" w:bidi="en-US"/>
        </w:rPr>
        <w:t>1</w:t>
      </w:r>
      <w:r>
        <w:rPr>
          <w:rFonts w:hint="eastAsia"/>
          <w:color w:val="000000"/>
          <w:spacing w:val="0"/>
          <w:w w:val="100"/>
          <w:position w:val="0"/>
          <w:lang w:val="en-US" w:eastAsia="zh-CN" w:bidi="en-US"/>
        </w:rPr>
        <w:t>-1</w:t>
      </w:r>
      <w:r>
        <w:rPr>
          <w:color w:val="000000"/>
          <w:spacing w:val="0"/>
          <w:w w:val="100"/>
          <w:position w:val="0"/>
          <w:lang w:val="en-US" w:eastAsia="en-US" w:bidi="en-US"/>
        </w:rPr>
        <w:t>）</w:t>
      </w:r>
    </w:p>
    <w:p>
      <w:pPr>
        <w:pStyle w:val="11"/>
        <w:keepNext w:val="0"/>
        <w:keepLines w:val="0"/>
        <w:widowControl w:val="0"/>
        <w:shd w:val="clear" w:color="auto" w:fill="auto"/>
        <w:tabs>
          <w:tab w:val="left" w:pos="650"/>
        </w:tabs>
        <w:bidi w:val="0"/>
        <w:spacing w:before="0" w:after="0" w:line="533" w:lineRule="exact"/>
        <w:ind w:left="0" w:right="0" w:firstLine="0"/>
        <w:jc w:val="left"/>
      </w:pPr>
      <w:bookmarkStart w:id="4" w:name="bookmark4"/>
      <w:r>
        <w:rPr>
          <w:color w:val="000000"/>
          <w:spacing w:val="0"/>
          <w:w w:val="100"/>
          <w:position w:val="0"/>
        </w:rPr>
        <w:t>三</w:t>
      </w:r>
      <w:bookmarkEnd w:id="4"/>
      <w:r>
        <w:rPr>
          <w:color w:val="000000"/>
          <w:spacing w:val="0"/>
          <w:w w:val="100"/>
          <w:position w:val="0"/>
        </w:rPr>
        <w:t>、</w:t>
      </w:r>
      <w:r>
        <w:rPr>
          <w:color w:val="000000"/>
          <w:spacing w:val="0"/>
          <w:w w:val="100"/>
          <w:position w:val="0"/>
        </w:rPr>
        <w:tab/>
      </w:r>
      <w:r>
        <w:rPr>
          <w:color w:val="000000"/>
          <w:spacing w:val="0"/>
          <w:w w:val="100"/>
          <w:position w:val="0"/>
        </w:rPr>
        <w:t>部门支出总表（公开表</w:t>
      </w:r>
      <w:r>
        <w:rPr>
          <w:color w:val="000000"/>
          <w:spacing w:val="0"/>
          <w:w w:val="100"/>
          <w:position w:val="0"/>
          <w:lang w:val="en-US" w:eastAsia="en-US" w:bidi="en-US"/>
        </w:rPr>
        <w:t>1-2）</w:t>
      </w:r>
    </w:p>
    <w:p>
      <w:pPr>
        <w:pStyle w:val="11"/>
        <w:keepNext w:val="0"/>
        <w:keepLines w:val="0"/>
        <w:widowControl w:val="0"/>
        <w:shd w:val="clear" w:color="auto" w:fill="auto"/>
        <w:tabs>
          <w:tab w:val="left" w:pos="650"/>
        </w:tabs>
        <w:bidi w:val="0"/>
        <w:spacing w:before="0" w:after="0" w:line="533" w:lineRule="exact"/>
        <w:ind w:left="0" w:right="0" w:firstLine="0"/>
        <w:jc w:val="left"/>
      </w:pPr>
      <w:bookmarkStart w:id="5" w:name="bookmark5"/>
      <w:r>
        <w:rPr>
          <w:color w:val="000000"/>
          <w:spacing w:val="0"/>
          <w:w w:val="100"/>
          <w:position w:val="0"/>
        </w:rPr>
        <w:t>四</w:t>
      </w:r>
      <w:bookmarkEnd w:id="5"/>
      <w:r>
        <w:rPr>
          <w:color w:val="000000"/>
          <w:spacing w:val="0"/>
          <w:w w:val="100"/>
          <w:position w:val="0"/>
        </w:rPr>
        <w:t>、</w:t>
      </w:r>
      <w:r>
        <w:rPr>
          <w:color w:val="000000"/>
          <w:spacing w:val="0"/>
          <w:w w:val="100"/>
          <w:position w:val="0"/>
        </w:rPr>
        <w:tab/>
      </w:r>
      <w:r>
        <w:rPr>
          <w:color w:val="000000"/>
          <w:spacing w:val="0"/>
          <w:w w:val="100"/>
          <w:position w:val="0"/>
        </w:rPr>
        <w:t>财政拨款收支预算总表（公开表2）</w:t>
      </w:r>
    </w:p>
    <w:p>
      <w:pPr>
        <w:pStyle w:val="11"/>
        <w:keepNext w:val="0"/>
        <w:keepLines w:val="0"/>
        <w:widowControl w:val="0"/>
        <w:shd w:val="clear" w:color="auto" w:fill="auto"/>
        <w:tabs>
          <w:tab w:val="left" w:pos="650"/>
        </w:tabs>
        <w:bidi w:val="0"/>
        <w:spacing w:before="0" w:after="0" w:line="533" w:lineRule="exact"/>
        <w:ind w:left="0" w:right="0" w:firstLine="0"/>
        <w:jc w:val="left"/>
      </w:pPr>
      <w:bookmarkStart w:id="6" w:name="bookmark6"/>
      <w:r>
        <w:rPr>
          <w:color w:val="000000"/>
          <w:spacing w:val="0"/>
          <w:w w:val="100"/>
          <w:position w:val="0"/>
        </w:rPr>
        <w:t>五</w:t>
      </w:r>
      <w:bookmarkEnd w:id="6"/>
      <w:r>
        <w:rPr>
          <w:color w:val="000000"/>
          <w:spacing w:val="0"/>
          <w:w w:val="100"/>
          <w:position w:val="0"/>
        </w:rPr>
        <w:t>、</w:t>
      </w:r>
      <w:r>
        <w:rPr>
          <w:color w:val="000000"/>
          <w:spacing w:val="0"/>
          <w:w w:val="100"/>
          <w:position w:val="0"/>
        </w:rPr>
        <w:tab/>
      </w:r>
      <w:r>
        <w:rPr>
          <w:color w:val="000000"/>
          <w:spacing w:val="0"/>
          <w:w w:val="100"/>
          <w:position w:val="0"/>
        </w:rPr>
        <w:t>财政拨款支出预算表（部门经济分类科目）（公开</w:t>
      </w:r>
    </w:p>
    <w:p>
      <w:pPr>
        <w:pStyle w:val="11"/>
        <w:keepNext w:val="0"/>
        <w:keepLines w:val="0"/>
        <w:widowControl w:val="0"/>
        <w:shd w:val="clear" w:color="auto" w:fill="auto"/>
        <w:bidi w:val="0"/>
        <w:spacing w:before="0" w:after="0" w:line="533" w:lineRule="exact"/>
        <w:ind w:left="0" w:right="0" w:firstLine="620"/>
        <w:jc w:val="left"/>
      </w:pPr>
      <w:r>
        <w:rPr>
          <w:color w:val="000000"/>
          <w:spacing w:val="0"/>
          <w:w w:val="100"/>
          <w:position w:val="0"/>
        </w:rPr>
        <w:t>表</w:t>
      </w:r>
      <w:r>
        <w:rPr>
          <w:color w:val="000000"/>
          <w:spacing w:val="0"/>
          <w:w w:val="100"/>
          <w:position w:val="0"/>
          <w:lang w:val="en-US" w:eastAsia="en-US" w:bidi="en-US"/>
        </w:rPr>
        <w:t>2</w:t>
      </w:r>
      <w:r>
        <w:rPr>
          <w:rFonts w:hint="eastAsia"/>
          <w:color w:val="000000"/>
          <w:spacing w:val="0"/>
          <w:w w:val="100"/>
          <w:position w:val="0"/>
          <w:lang w:val="en-US" w:eastAsia="zh-CN" w:bidi="en-US"/>
        </w:rPr>
        <w:t>-1</w:t>
      </w:r>
      <w:r>
        <w:rPr>
          <w:color w:val="000000"/>
          <w:spacing w:val="0"/>
          <w:w w:val="100"/>
          <w:position w:val="0"/>
          <w:lang w:val="en-US" w:eastAsia="en-US" w:bidi="en-US"/>
        </w:rPr>
        <w:t>）</w:t>
      </w:r>
    </w:p>
    <w:p>
      <w:pPr>
        <w:pStyle w:val="11"/>
        <w:keepNext w:val="0"/>
        <w:keepLines w:val="0"/>
        <w:widowControl w:val="0"/>
        <w:shd w:val="clear" w:color="auto" w:fill="auto"/>
        <w:tabs>
          <w:tab w:val="left" w:pos="650"/>
        </w:tabs>
        <w:bidi w:val="0"/>
        <w:spacing w:before="0" w:after="0" w:line="533" w:lineRule="exact"/>
        <w:ind w:left="0" w:right="0" w:firstLine="0"/>
        <w:jc w:val="left"/>
      </w:pPr>
      <w:bookmarkStart w:id="7" w:name="bookmark7"/>
      <w:r>
        <w:rPr>
          <w:color w:val="000000"/>
          <w:spacing w:val="0"/>
          <w:w w:val="100"/>
          <w:position w:val="0"/>
        </w:rPr>
        <w:t>六</w:t>
      </w:r>
      <w:bookmarkEnd w:id="7"/>
      <w:r>
        <w:rPr>
          <w:color w:val="000000"/>
          <w:spacing w:val="0"/>
          <w:w w:val="100"/>
          <w:position w:val="0"/>
        </w:rPr>
        <w:t>、</w:t>
      </w:r>
      <w:r>
        <w:rPr>
          <w:color w:val="000000"/>
          <w:spacing w:val="0"/>
          <w:w w:val="100"/>
          <w:position w:val="0"/>
        </w:rPr>
        <w:tab/>
      </w:r>
      <w:r>
        <w:rPr>
          <w:color w:val="000000"/>
          <w:spacing w:val="0"/>
          <w:w w:val="100"/>
          <w:position w:val="0"/>
        </w:rPr>
        <w:t>一般公共预算支出预算表（公开表3）</w:t>
      </w:r>
    </w:p>
    <w:p>
      <w:pPr>
        <w:pStyle w:val="11"/>
        <w:keepNext w:val="0"/>
        <w:keepLines w:val="0"/>
        <w:widowControl w:val="0"/>
        <w:shd w:val="clear" w:color="auto" w:fill="auto"/>
        <w:tabs>
          <w:tab w:val="left" w:pos="650"/>
        </w:tabs>
        <w:bidi w:val="0"/>
        <w:spacing w:before="0" w:after="0" w:line="533" w:lineRule="exact"/>
        <w:ind w:left="0" w:right="0" w:firstLine="0"/>
        <w:jc w:val="left"/>
      </w:pPr>
      <w:bookmarkStart w:id="8" w:name="bookmark8"/>
      <w:r>
        <w:rPr>
          <w:color w:val="000000"/>
          <w:spacing w:val="0"/>
          <w:w w:val="100"/>
          <w:position w:val="0"/>
        </w:rPr>
        <w:t>七</w:t>
      </w:r>
      <w:bookmarkEnd w:id="8"/>
      <w:r>
        <w:rPr>
          <w:color w:val="000000"/>
          <w:spacing w:val="0"/>
          <w:w w:val="100"/>
          <w:position w:val="0"/>
        </w:rPr>
        <w:t>、</w:t>
      </w:r>
      <w:r>
        <w:rPr>
          <w:color w:val="000000"/>
          <w:spacing w:val="0"/>
          <w:w w:val="100"/>
          <w:position w:val="0"/>
        </w:rPr>
        <w:tab/>
      </w:r>
      <w:r>
        <w:rPr>
          <w:color w:val="000000"/>
          <w:spacing w:val="0"/>
          <w:w w:val="100"/>
          <w:position w:val="0"/>
        </w:rPr>
        <w:t>一般公共预算基本支出预算表（公开表</w:t>
      </w:r>
      <w:r>
        <w:rPr>
          <w:color w:val="000000"/>
          <w:spacing w:val="0"/>
          <w:w w:val="100"/>
          <w:position w:val="0"/>
          <w:lang w:val="en-US" w:eastAsia="en-US" w:bidi="en-US"/>
        </w:rPr>
        <w:t>3-1）</w:t>
      </w:r>
    </w:p>
    <w:p>
      <w:pPr>
        <w:pStyle w:val="11"/>
        <w:keepNext w:val="0"/>
        <w:keepLines w:val="0"/>
        <w:widowControl w:val="0"/>
        <w:shd w:val="clear" w:color="auto" w:fill="auto"/>
        <w:tabs>
          <w:tab w:val="left" w:pos="650"/>
        </w:tabs>
        <w:bidi w:val="0"/>
        <w:spacing w:before="0" w:after="0" w:line="533" w:lineRule="exact"/>
        <w:ind w:left="0" w:right="0" w:firstLine="0"/>
        <w:jc w:val="left"/>
      </w:pPr>
      <w:bookmarkStart w:id="9" w:name="bookmark9"/>
      <w:r>
        <w:rPr>
          <w:color w:val="000000"/>
          <w:spacing w:val="0"/>
          <w:w w:val="100"/>
          <w:position w:val="0"/>
        </w:rPr>
        <w:t>八</w:t>
      </w:r>
      <w:bookmarkEnd w:id="9"/>
      <w:r>
        <w:rPr>
          <w:color w:val="000000"/>
          <w:spacing w:val="0"/>
          <w:w w:val="100"/>
          <w:position w:val="0"/>
        </w:rPr>
        <w:t>、</w:t>
      </w:r>
      <w:r>
        <w:rPr>
          <w:color w:val="000000"/>
          <w:spacing w:val="0"/>
          <w:w w:val="100"/>
          <w:position w:val="0"/>
        </w:rPr>
        <w:tab/>
      </w:r>
      <w:r>
        <w:rPr>
          <w:color w:val="000000"/>
          <w:spacing w:val="0"/>
          <w:w w:val="100"/>
          <w:position w:val="0"/>
        </w:rPr>
        <w:t>一般公共预算项目支出预算表（公开表</w:t>
      </w:r>
      <w:r>
        <w:rPr>
          <w:color w:val="000000"/>
          <w:spacing w:val="0"/>
          <w:w w:val="100"/>
          <w:position w:val="0"/>
          <w:lang w:val="en-US" w:eastAsia="en-US" w:bidi="en-US"/>
        </w:rPr>
        <w:t>3-2）</w:t>
      </w:r>
    </w:p>
    <w:p>
      <w:pPr>
        <w:pStyle w:val="11"/>
        <w:keepNext w:val="0"/>
        <w:keepLines w:val="0"/>
        <w:widowControl w:val="0"/>
        <w:shd w:val="clear" w:color="auto" w:fill="auto"/>
        <w:tabs>
          <w:tab w:val="left" w:pos="650"/>
        </w:tabs>
        <w:bidi w:val="0"/>
        <w:spacing w:before="0" w:after="0" w:line="533" w:lineRule="exact"/>
        <w:ind w:left="0" w:right="0" w:firstLine="0"/>
        <w:jc w:val="left"/>
      </w:pPr>
      <w:bookmarkStart w:id="10" w:name="bookmark10"/>
      <w:r>
        <w:rPr>
          <w:color w:val="000000"/>
          <w:spacing w:val="0"/>
          <w:w w:val="100"/>
          <w:position w:val="0"/>
        </w:rPr>
        <w:t>九</w:t>
      </w:r>
      <w:bookmarkEnd w:id="10"/>
      <w:r>
        <w:rPr>
          <w:color w:val="000000"/>
          <w:spacing w:val="0"/>
          <w:w w:val="100"/>
          <w:position w:val="0"/>
        </w:rPr>
        <w:t>、</w:t>
      </w:r>
      <w:r>
        <w:rPr>
          <w:color w:val="000000"/>
          <w:spacing w:val="0"/>
          <w:w w:val="100"/>
          <w:position w:val="0"/>
        </w:rPr>
        <w:tab/>
      </w:r>
      <w:r>
        <w:rPr>
          <w:color w:val="000000"/>
          <w:spacing w:val="0"/>
          <w:w w:val="100"/>
          <w:position w:val="0"/>
        </w:rPr>
        <w:t>一般公共预算"三公"经费支出预算表（公开表</w:t>
      </w:r>
      <w:r>
        <w:rPr>
          <w:color w:val="000000"/>
          <w:spacing w:val="0"/>
          <w:w w:val="100"/>
          <w:position w:val="0"/>
          <w:lang w:val="en-US" w:eastAsia="en-US" w:bidi="en-US"/>
        </w:rPr>
        <w:t>3-3）</w:t>
      </w:r>
    </w:p>
    <w:p>
      <w:pPr>
        <w:pStyle w:val="11"/>
        <w:keepNext w:val="0"/>
        <w:keepLines w:val="0"/>
        <w:widowControl w:val="0"/>
        <w:shd w:val="clear" w:color="auto" w:fill="auto"/>
        <w:bidi w:val="0"/>
        <w:spacing w:before="0" w:after="0" w:line="533" w:lineRule="exact"/>
        <w:ind w:left="0" w:right="0" w:firstLine="0"/>
        <w:jc w:val="left"/>
      </w:pPr>
      <w:r>
        <w:rPr>
          <w:color w:val="000000"/>
          <w:spacing w:val="0"/>
          <w:w w:val="100"/>
          <w:position w:val="0"/>
        </w:rPr>
        <w:t>十、政府性基金预算支出表（公开表4）</w:t>
      </w:r>
    </w:p>
    <w:p>
      <w:pPr>
        <w:pStyle w:val="11"/>
        <w:keepNext w:val="0"/>
        <w:keepLines w:val="0"/>
        <w:widowControl w:val="0"/>
        <w:shd w:val="clear" w:color="auto" w:fill="auto"/>
        <w:bidi w:val="0"/>
        <w:spacing w:before="0" w:after="0" w:line="533" w:lineRule="exact"/>
        <w:ind w:left="0" w:right="0" w:firstLine="0"/>
        <w:jc w:val="left"/>
      </w:pPr>
      <w:r>
        <w:rPr>
          <w:color w:val="000000"/>
          <w:spacing w:val="0"/>
          <w:w w:val="100"/>
          <w:position w:val="0"/>
        </w:rPr>
        <w:t>十一、政府性基金预算"三公"经费支出预算表（公开</w:t>
      </w:r>
    </w:p>
    <w:p>
      <w:pPr>
        <w:pStyle w:val="11"/>
        <w:keepNext w:val="0"/>
        <w:keepLines w:val="0"/>
        <w:widowControl w:val="0"/>
        <w:shd w:val="clear" w:color="auto" w:fill="auto"/>
        <w:bidi w:val="0"/>
        <w:spacing w:before="0" w:after="0" w:line="533" w:lineRule="exact"/>
        <w:ind w:left="0" w:right="0" w:firstLine="960"/>
        <w:jc w:val="left"/>
      </w:pPr>
      <w:r>
        <w:rPr>
          <w:color w:val="000000"/>
          <w:spacing w:val="0"/>
          <w:w w:val="100"/>
          <w:position w:val="0"/>
        </w:rPr>
        <w:t>表</w:t>
      </w:r>
      <w:r>
        <w:rPr>
          <w:color w:val="000000"/>
          <w:spacing w:val="0"/>
          <w:w w:val="100"/>
          <w:position w:val="0"/>
          <w:lang w:val="en-US" w:eastAsia="en-US" w:bidi="en-US"/>
        </w:rPr>
        <w:t>4-1）</w:t>
      </w:r>
    </w:p>
    <w:p>
      <w:pPr>
        <w:pStyle w:val="11"/>
        <w:keepNext w:val="0"/>
        <w:keepLines w:val="0"/>
        <w:widowControl w:val="0"/>
        <w:shd w:val="clear" w:color="auto" w:fill="auto"/>
        <w:bidi w:val="0"/>
        <w:spacing w:before="0" w:after="0" w:line="533" w:lineRule="exact"/>
        <w:ind w:left="0" w:right="0" w:firstLine="0"/>
        <w:jc w:val="left"/>
      </w:pPr>
      <w:r>
        <w:rPr>
          <w:color w:val="000000"/>
          <w:spacing w:val="0"/>
          <w:w w:val="100"/>
          <w:position w:val="0"/>
        </w:rPr>
        <w:t>十二、国有资本经营预算支出表（公开表5）</w:t>
      </w:r>
    </w:p>
    <w:p>
      <w:pPr>
        <w:pStyle w:val="11"/>
        <w:keepNext w:val="0"/>
        <w:keepLines w:val="0"/>
        <w:widowControl w:val="0"/>
        <w:shd w:val="clear" w:color="auto" w:fill="auto"/>
        <w:bidi w:val="0"/>
        <w:spacing w:before="0" w:after="0" w:line="533" w:lineRule="exact"/>
        <w:ind w:left="0" w:right="0" w:firstLine="0"/>
        <w:jc w:val="left"/>
      </w:pPr>
      <w:r>
        <w:rPr>
          <w:color w:val="000000"/>
          <w:spacing w:val="0"/>
          <w:w w:val="100"/>
          <w:position w:val="0"/>
        </w:rPr>
        <w:t>十三、部门预算项目支出绩效目标表（公开表6）</w:t>
      </w:r>
    </w:p>
    <w:p>
      <w:pPr>
        <w:pStyle w:val="11"/>
        <w:keepNext w:val="0"/>
        <w:keepLines w:val="0"/>
        <w:widowControl w:val="0"/>
        <w:shd w:val="clear" w:color="auto" w:fill="auto"/>
        <w:bidi w:val="0"/>
        <w:spacing w:before="0" w:after="0" w:line="533" w:lineRule="exact"/>
        <w:ind w:left="0" w:right="0" w:firstLine="0"/>
        <w:jc w:val="left"/>
      </w:pPr>
      <w:r>
        <w:rPr>
          <w:color w:val="000000"/>
          <w:spacing w:val="0"/>
          <w:w w:val="100"/>
          <w:position w:val="0"/>
        </w:rPr>
        <w:t>十四、部门整体支出绩效目标表（公开表7）</w:t>
      </w:r>
    </w:p>
    <w:p>
      <w:pPr>
        <w:pStyle w:val="11"/>
        <w:keepNext w:val="0"/>
        <w:keepLines w:val="0"/>
        <w:widowControl w:val="0"/>
        <w:shd w:val="clear" w:color="auto" w:fill="auto"/>
        <w:bidi w:val="0"/>
        <w:spacing w:before="0" w:after="0" w:line="533" w:lineRule="exact"/>
        <w:ind w:left="0" w:right="0" w:firstLine="0"/>
        <w:jc w:val="left"/>
        <w:rPr>
          <w:rFonts w:hint="eastAsia" w:eastAsia="宋体"/>
          <w:b/>
          <w:bCs/>
          <w:i w:val="0"/>
          <w:iCs w:val="0"/>
          <w:smallCaps w:val="0"/>
          <w:strike w:val="0"/>
          <w:color w:val="000000"/>
          <w:spacing w:val="0"/>
          <w:w w:val="100"/>
          <w:position w:val="0"/>
          <w:lang w:eastAsia="zh-CN"/>
        </w:rPr>
      </w:pPr>
      <w:r>
        <w:rPr>
          <w:b/>
          <w:bCs/>
          <w:i w:val="0"/>
          <w:iCs w:val="0"/>
          <w:smallCaps w:val="0"/>
          <w:strike w:val="0"/>
          <w:color w:val="000000"/>
          <w:spacing w:val="0"/>
          <w:w w:val="100"/>
          <w:position w:val="0"/>
        </w:rPr>
        <w:t>第三部分</w:t>
      </w:r>
      <w:r>
        <w:rPr>
          <w:rFonts w:hint="eastAsia"/>
          <w:b/>
          <w:bCs/>
          <w:i w:val="0"/>
          <w:iCs w:val="0"/>
          <w:smallCaps w:val="0"/>
          <w:strike w:val="0"/>
          <w:color w:val="000000"/>
          <w:spacing w:val="0"/>
          <w:w w:val="100"/>
          <w:position w:val="0"/>
          <w:lang w:eastAsia="zh-CN"/>
        </w:rPr>
        <w:t>夹江县交通运输局</w:t>
      </w:r>
      <w:r>
        <w:rPr>
          <w:b/>
          <w:bCs/>
          <w:i w:val="0"/>
          <w:iCs w:val="0"/>
          <w:smallCaps w:val="0"/>
          <w:strike w:val="0"/>
          <w:color w:val="000000"/>
          <w:spacing w:val="0"/>
          <w:w w:val="100"/>
          <w:position w:val="0"/>
        </w:rPr>
        <w:t>2022年部门预算情况说明</w:t>
      </w:r>
    </w:p>
    <w:p>
      <w:pPr>
        <w:pStyle w:val="11"/>
        <w:keepNext w:val="0"/>
        <w:keepLines w:val="0"/>
        <w:widowControl w:val="0"/>
        <w:shd w:val="clear" w:color="auto" w:fill="auto"/>
        <w:bidi w:val="0"/>
        <w:spacing w:before="0" w:after="0" w:line="533" w:lineRule="exact"/>
        <w:ind w:left="0" w:right="0" w:firstLine="0"/>
        <w:jc w:val="left"/>
        <w:sectPr>
          <w:footerReference r:id="rId7" w:type="default"/>
          <w:footerReference r:id="rId8" w:type="even"/>
          <w:footnotePr>
            <w:numFmt w:val="decimal"/>
          </w:footnotePr>
          <w:pgSz w:w="11900" w:h="16840"/>
          <w:pgMar w:top="1969" w:right="1596" w:bottom="1969" w:left="2225" w:header="1541" w:footer="3" w:gutter="0"/>
          <w:cols w:space="720" w:num="1"/>
          <w:rtlGutter w:val="0"/>
          <w:docGrid w:linePitch="360" w:charSpace="0"/>
        </w:sectPr>
      </w:pPr>
      <w:r>
        <w:rPr>
          <w:b/>
          <w:bCs/>
          <w:color w:val="000000"/>
          <w:spacing w:val="0"/>
          <w:w w:val="100"/>
          <w:position w:val="0"/>
        </w:rPr>
        <w:t>第四部分名词解释</w:t>
      </w:r>
    </w:p>
    <w:p>
      <w:pPr>
        <w:pStyle w:val="13"/>
        <w:keepNext w:val="0"/>
        <w:keepLines w:val="0"/>
        <w:widowControl w:val="0"/>
        <w:shd w:val="clear" w:color="auto" w:fill="auto"/>
        <w:bidi w:val="0"/>
        <w:spacing w:before="0" w:after="0" w:line="240" w:lineRule="auto"/>
        <w:ind w:left="0" w:right="0" w:firstLine="0"/>
        <w:jc w:val="center"/>
        <w:sectPr>
          <w:footerReference r:id="rId9" w:type="default"/>
          <w:footerReference r:id="rId10" w:type="even"/>
          <w:footnotePr>
            <w:numFmt w:val="decimal"/>
          </w:footnotePr>
          <w:pgSz w:w="11900" w:h="16840"/>
          <w:pgMar w:top="5516" w:right="1395" w:bottom="5516" w:left="1592" w:header="5088" w:footer="3" w:gutter="0"/>
          <w:cols w:space="720" w:num="1"/>
          <w:rtlGutter w:val="0"/>
          <w:docGrid w:linePitch="360" w:charSpace="0"/>
        </w:sectPr>
      </w:pPr>
      <w:r>
        <w:rPr>
          <w:color w:val="000000"/>
          <w:spacing w:val="0"/>
          <w:w w:val="100"/>
          <w:position w:val="0"/>
        </w:rPr>
        <w:t>第一部分</w:t>
      </w:r>
      <w:r>
        <w:rPr>
          <w:rFonts w:hint="eastAsia"/>
          <w:color w:val="000000"/>
          <w:spacing w:val="0"/>
          <w:w w:val="100"/>
          <w:position w:val="0"/>
          <w:lang w:eastAsia="zh-CN"/>
        </w:rPr>
        <w:t>夹江县交通运输局</w:t>
      </w:r>
      <w:r>
        <w:rPr>
          <w:color w:val="000000"/>
          <w:spacing w:val="0"/>
          <w:w w:val="100"/>
          <w:position w:val="0"/>
        </w:rPr>
        <w:t>概况</w:t>
      </w:r>
    </w:p>
    <w:p>
      <w:pPr>
        <w:pStyle w:val="11"/>
        <w:keepNext w:val="0"/>
        <w:keepLines w:val="0"/>
        <w:widowControl w:val="0"/>
        <w:shd w:val="clear" w:color="auto" w:fill="auto"/>
        <w:bidi w:val="0"/>
        <w:spacing w:before="0" w:after="0" w:line="602" w:lineRule="exact"/>
        <w:ind w:left="0" w:right="0" w:firstLine="640"/>
        <w:jc w:val="both"/>
      </w:pPr>
      <w:r>
        <w:rPr>
          <w:b/>
          <w:bCs/>
          <w:color w:val="000000"/>
          <w:spacing w:val="0"/>
          <w:w w:val="100"/>
          <w:position w:val="0"/>
          <w:lang w:val="zh-CN" w:eastAsia="zh-CN" w:bidi="zh-CN"/>
        </w:rPr>
        <w:t>―、</w:t>
      </w:r>
      <w:r>
        <w:rPr>
          <w:b/>
          <w:bCs/>
          <w:color w:val="000000"/>
          <w:spacing w:val="0"/>
          <w:w w:val="100"/>
          <w:position w:val="0"/>
        </w:rPr>
        <w:t>基本职能及主要工作</w:t>
      </w:r>
    </w:p>
    <w:p>
      <w:pPr>
        <w:pStyle w:val="15"/>
        <w:keepNext w:val="0"/>
        <w:keepLines w:val="0"/>
        <w:widowControl w:val="0"/>
        <w:shd w:val="clear" w:color="auto" w:fill="auto"/>
        <w:bidi w:val="0"/>
        <w:spacing w:before="0" w:after="0"/>
        <w:ind w:left="0" w:right="0"/>
        <w:jc w:val="both"/>
      </w:pPr>
      <w:r>
        <w:rPr>
          <w:color w:val="000000"/>
          <w:spacing w:val="0"/>
          <w:w w:val="100"/>
          <w:position w:val="0"/>
        </w:rPr>
        <w:t>（一</w:t>
      </w:r>
      <w:r>
        <w:rPr>
          <w:color w:val="000000"/>
          <w:spacing w:val="0"/>
          <w:w w:val="100"/>
          <w:position w:val="0"/>
          <w:sz w:val="30"/>
          <w:szCs w:val="30"/>
        </w:rPr>
        <w:t>）</w:t>
      </w:r>
      <w:r>
        <w:rPr>
          <w:rFonts w:hint="eastAsia"/>
          <w:color w:val="000000"/>
          <w:spacing w:val="0"/>
          <w:w w:val="100"/>
          <w:position w:val="0"/>
          <w:sz w:val="30"/>
          <w:szCs w:val="30"/>
          <w:lang w:eastAsia="zh-CN"/>
        </w:rPr>
        <w:t>夹江县交通运输局机关</w:t>
      </w:r>
      <w:r>
        <w:rPr>
          <w:color w:val="000000"/>
          <w:spacing w:val="0"/>
          <w:w w:val="100"/>
          <w:position w:val="0"/>
        </w:rPr>
        <w:t>职能简介</w:t>
      </w:r>
    </w:p>
    <w:p>
      <w:pPr>
        <w:snapToGrid w:val="0"/>
        <w:spacing w:line="520" w:lineRule="exact"/>
        <w:ind w:firstLine="640" w:firstLineChars="200"/>
        <w:rPr>
          <w:rFonts w:hint="eastAsia" w:ascii="仿宋_GB2312" w:hAnsi="仿宋" w:eastAsia="仿宋_GB2312"/>
          <w:sz w:val="32"/>
          <w:szCs w:val="32"/>
        </w:rPr>
      </w:pPr>
      <w:bookmarkStart w:id="11" w:name="bookmark11"/>
      <w:bookmarkEnd w:id="11"/>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w:t>
      </w:r>
      <w:r>
        <w:rPr>
          <w:rFonts w:hint="eastAsia" w:ascii="仿宋_GB2312" w:hAnsi="仿宋" w:eastAsia="仿宋_GB2312"/>
          <w:sz w:val="32"/>
          <w:szCs w:val="32"/>
        </w:rPr>
        <w:t>贯彻执行国家、省、市、县有关交通运输行业法律、法规和方针、政策。组织拟订全县公路、水路等行业规划、政策并监督执行。会同有关部门拟订、执行涉及交通的有关地方经济政策。</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w:t>
      </w:r>
      <w:r>
        <w:rPr>
          <w:rFonts w:hint="eastAsia" w:ascii="仿宋_GB2312" w:hAnsi="仿宋" w:eastAsia="仿宋_GB2312"/>
          <w:sz w:val="32"/>
          <w:szCs w:val="32"/>
        </w:rPr>
        <w:t>根据国家和省、市的总体布置，编制和实施全县公路和水路行业发展规划、中长期规划和年度计划，负责全县交通行业统计和信息上报。</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w:t>
      </w:r>
      <w:r>
        <w:rPr>
          <w:rFonts w:hint="eastAsia" w:ascii="仿宋_GB2312" w:hAnsi="仿宋" w:eastAsia="仿宋_GB2312"/>
          <w:sz w:val="32"/>
          <w:szCs w:val="32"/>
        </w:rPr>
        <w:t>开展全县交通运输信息化建设，监测分析运行情况。开展全县公路、水路行业环境保护和节能减排工作；指导实施交通项目和交通行业计量、质量、技术标准和规范工作。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w:t>
      </w:r>
      <w:r>
        <w:rPr>
          <w:rFonts w:hint="eastAsia" w:ascii="仿宋_GB2312" w:hAnsi="仿宋" w:eastAsia="仿宋_GB2312"/>
          <w:sz w:val="32"/>
          <w:szCs w:val="32"/>
        </w:rPr>
        <w:t>负责交通行业预决算并监督执行；负责全县交通财政拨款、非税收入和其他专项资金的筹集、管理、下拨、使用和监督工作；负责交通国有资产的监管；指导检查全县交通行业财务管理和会计核算、审计工作。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w:t>
      </w:r>
      <w:r>
        <w:rPr>
          <w:rFonts w:hint="eastAsia" w:ascii="仿宋_GB2312" w:hAnsi="仿宋" w:eastAsia="仿宋_GB2312"/>
          <w:sz w:val="32"/>
          <w:szCs w:val="32"/>
        </w:rPr>
        <w:t>负责提出全县公路、水路固定资产投资规模和方向、县财政性资金安排建议。负责对交通项目建设和交通行业建设的招标投标及政府采购活动的管理监督。</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w:t>
      </w:r>
      <w:r>
        <w:rPr>
          <w:rFonts w:hint="eastAsia" w:ascii="仿宋_GB2312" w:hAnsi="仿宋" w:eastAsia="仿宋_GB2312"/>
          <w:sz w:val="32"/>
          <w:szCs w:val="32"/>
        </w:rPr>
        <w:t>负责对全县经营性道路运输源头企业安全、公路工程建设及养护安全、水上交通安全和交通企事业单位内部安全管理进行综合指导与监督，督促落实企业安全生产主体责任；负责组织协调全县交通行业责任事故应急救援和突发事件的处置，协调事故调查处理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7</w:t>
      </w:r>
      <w:r>
        <w:rPr>
          <w:rFonts w:hint="eastAsia" w:ascii="仿宋_GB2312" w:hAnsi="仿宋" w:eastAsia="仿宋_GB2312"/>
          <w:sz w:val="32"/>
          <w:szCs w:val="32"/>
          <w:lang w:eastAsia="zh-CN"/>
        </w:rPr>
        <w:t>）</w:t>
      </w:r>
      <w:r>
        <w:rPr>
          <w:rFonts w:hint="eastAsia" w:ascii="仿宋_GB2312" w:hAnsi="仿宋" w:eastAsia="仿宋_GB2312"/>
          <w:sz w:val="32"/>
          <w:szCs w:val="32"/>
        </w:rPr>
        <w:t>负责交通机关和行政事业单位、交通企业人员的组织、人事管理、劳动工资和机构编制、职工培训工作；负责交通机关、事业单位、企业、新经济组织党的建设、政治理论学习工作；负责交通事业单位领导班子建设、干部管理工作；指导交通行业人才预测、劳动社会保障工作；负责交通系统离退休干部、职工服务，管理工作；指导交通行业职业技能、技术教育工作；指导交通行业协会、学会工作及职工队伍建设；指导交通直属单位党支部，系统工会、青年和妇女工作；指导交通机关、事业单位、企业、新经济组织精神文明建设。</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8</w:t>
      </w:r>
      <w:r>
        <w:rPr>
          <w:rFonts w:hint="eastAsia" w:ascii="仿宋_GB2312" w:hAnsi="仿宋" w:eastAsia="仿宋_GB2312"/>
          <w:sz w:val="32"/>
          <w:szCs w:val="32"/>
          <w:lang w:eastAsia="zh-CN"/>
        </w:rPr>
        <w:t>）</w:t>
      </w:r>
      <w:r>
        <w:rPr>
          <w:rFonts w:hint="eastAsia" w:ascii="仿宋_GB2312" w:hAnsi="仿宋" w:eastAsia="仿宋_GB2312"/>
          <w:sz w:val="32"/>
          <w:szCs w:val="32"/>
        </w:rPr>
        <w:t>负责有关交通涉外工作，指导交通行业利用外资工作；开展国际、省际、市际、县际交通经济技术合作与交流工作。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9</w:t>
      </w:r>
      <w:r>
        <w:rPr>
          <w:rFonts w:hint="eastAsia" w:ascii="仿宋_GB2312" w:hAnsi="仿宋" w:eastAsia="仿宋_GB2312"/>
          <w:sz w:val="32"/>
          <w:szCs w:val="32"/>
          <w:lang w:eastAsia="zh-CN"/>
        </w:rPr>
        <w:t>）</w:t>
      </w:r>
      <w:r>
        <w:rPr>
          <w:rFonts w:hint="eastAsia" w:ascii="仿宋_GB2312" w:hAnsi="仿宋" w:eastAsia="仿宋_GB2312"/>
          <w:sz w:val="32"/>
          <w:szCs w:val="32"/>
        </w:rPr>
        <w:t>承担道路交通运输市场营运和安全监管责任，组织制定道路运输有关政策和运营规范并监督实施，负责城乡客运、货运、巡游出租汽车、网约预约出租车、旅游包车行业管理工作，会同有关部门制定运输价格，负责全县物流产业规划和行业管理。</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10</w:t>
      </w:r>
      <w:r>
        <w:rPr>
          <w:rFonts w:hint="eastAsia" w:ascii="仿宋_GB2312" w:hAnsi="仿宋" w:eastAsia="仿宋_GB2312"/>
          <w:sz w:val="32"/>
          <w:szCs w:val="32"/>
          <w:lang w:eastAsia="zh-CN"/>
        </w:rPr>
        <w:t>）</w:t>
      </w:r>
      <w:r>
        <w:rPr>
          <w:rFonts w:hint="eastAsia" w:ascii="仿宋_GB2312" w:hAnsi="仿宋" w:eastAsia="仿宋_GB2312"/>
          <w:sz w:val="32"/>
          <w:szCs w:val="32"/>
        </w:rPr>
        <w:t>承担水上交通运营和监管责任。负责水上交通安全事故、船舶及相关水上设施污染事故的应急处置，依法组织或参与事故调查处理工作。负责水上交通管制、运输船舶及相关水上设施检验、登记和防止污染、救助打捞、通讯导航、危险品运输的监督管理工作，负责船员管理，负责渔船检验、登记和监督管理相关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11</w:t>
      </w:r>
      <w:r>
        <w:rPr>
          <w:rFonts w:hint="eastAsia" w:ascii="仿宋_GB2312" w:hAnsi="仿宋" w:eastAsia="仿宋_GB2312"/>
          <w:sz w:val="32"/>
          <w:szCs w:val="32"/>
          <w:lang w:eastAsia="zh-CN"/>
        </w:rPr>
        <w:t>）</w:t>
      </w:r>
      <w:r>
        <w:rPr>
          <w:rFonts w:hint="eastAsia" w:ascii="仿宋_GB2312" w:hAnsi="仿宋" w:eastAsia="仿宋_GB2312"/>
          <w:sz w:val="32"/>
          <w:szCs w:val="32"/>
        </w:rPr>
        <w:t>承担交通项目建设的实施和监管工作，负责监督全县交通项目执行国家、省、市的政策、技术规范和标准，履行国家基本建设程序；负责全县交通建设项目行业管理，培育、管理交通建设市场；监督管理交通建设项目的招投标、工程造价、工程质量、工程变更和施工安全工作；负责全县重大交通建设项目的组织实施；负责全县交通PPP项目运营管理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12</w:t>
      </w:r>
      <w:r>
        <w:rPr>
          <w:rFonts w:hint="eastAsia" w:ascii="仿宋_GB2312" w:hAnsi="仿宋" w:eastAsia="仿宋_GB2312"/>
          <w:sz w:val="32"/>
          <w:szCs w:val="32"/>
          <w:lang w:eastAsia="zh-CN"/>
        </w:rPr>
        <w:t>）</w:t>
      </w:r>
      <w:r>
        <w:rPr>
          <w:rFonts w:hint="eastAsia" w:ascii="仿宋_GB2312" w:hAnsi="仿宋" w:eastAsia="仿宋_GB2312"/>
          <w:sz w:val="32"/>
          <w:szCs w:val="32"/>
        </w:rPr>
        <w:t>负责宣传贯彻执行公路管理的相关法律、法规和规章，负责依法制止和查处各种违反路政管理法律、法规和规章的行为；负责依法管理和保护公路路产，依法控制公路两侧建筑红线，依法管理公路两侧建筑控制区；负责审定、监督穿（跨）越公路的其他建筑设施事宜，核批、监督公路的特殊占用及超限运输，并对其实施行为进行监督检查。</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13</w:t>
      </w:r>
      <w:r>
        <w:rPr>
          <w:rFonts w:hint="eastAsia" w:ascii="仿宋_GB2312" w:hAnsi="仿宋" w:eastAsia="仿宋_GB2312"/>
          <w:sz w:val="32"/>
          <w:szCs w:val="32"/>
          <w:lang w:eastAsia="zh-CN"/>
        </w:rPr>
        <w:t>）</w:t>
      </w:r>
      <w:r>
        <w:rPr>
          <w:rFonts w:hint="eastAsia" w:ascii="仿宋_GB2312" w:hAnsi="仿宋" w:eastAsia="仿宋_GB2312"/>
          <w:sz w:val="32"/>
          <w:szCs w:val="32"/>
        </w:rPr>
        <w:t>负责贯彻执行国家有关公路交通管理的法律、法规、政策，负责协助制定并组织实施全县公路发展战略、规划和管理办法;负责全县普通国道、省道、县道公路桥梁的日常养护、小修保养、预防性养护、大中修工程、灾毁抢修及应急保通工作;监督指导乡、村道路桥梁的养护工作；负责编报公路统计报表，定期公布公路养护、工程施工完成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14</w:t>
      </w:r>
      <w:r>
        <w:rPr>
          <w:rFonts w:hint="eastAsia" w:ascii="仿宋_GB2312" w:hAnsi="仿宋" w:eastAsia="仿宋_GB2312"/>
          <w:sz w:val="32"/>
          <w:szCs w:val="32"/>
          <w:lang w:eastAsia="zh-CN"/>
        </w:rPr>
        <w:t>）</w:t>
      </w:r>
      <w:r>
        <w:rPr>
          <w:rFonts w:hint="eastAsia" w:ascii="仿宋_GB2312" w:hAnsi="仿宋" w:eastAsia="仿宋_GB2312"/>
          <w:sz w:val="32"/>
          <w:szCs w:val="32"/>
        </w:rPr>
        <w:t>负责贯彻执行国家有关工程质量监督的方针、政策、规定和标准，制定全县交通工程质量监督实施细则；负责全县县、乡、村等农村公路和渡改桥等工程建设项目的质量监督工作。组织开展交通工程质量检查，定期发布工程质量信息。负责统计、分析全县县、乡、村等农村公路和渡改桥等工程建设项目质量监督检测数据，定期发布工程质量动态，负责出具项目交（竣）工验收质量检测意见，按规定进行交（竣）工验收质量鉴定。负责受理交通工程质量事故的检举、投诉，组织对工程质量事故的调查处理；检查监督项目业主、设计、监理、施工和试验检测机构的工程质量保证体系及合同执行情况，对全县交通建设项目从业的监理、检测单位和人员进行行业监管及信用评价信息收集，并及时将不良行为信息报送相关部门。</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15</w:t>
      </w:r>
      <w:r>
        <w:rPr>
          <w:rFonts w:hint="eastAsia" w:ascii="仿宋_GB2312" w:hAnsi="仿宋" w:eastAsia="仿宋_GB2312"/>
          <w:sz w:val="32"/>
          <w:szCs w:val="32"/>
          <w:lang w:eastAsia="zh-CN"/>
        </w:rPr>
        <w:t>）</w:t>
      </w:r>
      <w:r>
        <w:rPr>
          <w:rFonts w:hint="eastAsia" w:ascii="仿宋_GB2312" w:hAnsi="仿宋" w:eastAsia="仿宋_GB2312"/>
          <w:sz w:val="32"/>
          <w:szCs w:val="32"/>
        </w:rPr>
        <w:t>承担县人民政府交通战备、保护通信线路和大件运输管理的工作责任；负责全县交通战备基础设施规划、建设协调；负责全县的国防运力动员和征用、国防交通工程管理、军事运输及突发事件交通保障和军民共建、双拥等工作；组织编制快速反应保障方案，负责境内交通战备、通信建设方面的协调服务工作；承担组织全县交通战备演练、综合保障、协调服务工作；指导、监督、协调全县公路、铁路等部门的国防交通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16</w:t>
      </w:r>
      <w:r>
        <w:rPr>
          <w:rFonts w:hint="eastAsia" w:ascii="仿宋_GB2312" w:hAnsi="仿宋" w:eastAsia="仿宋_GB2312"/>
          <w:sz w:val="32"/>
          <w:szCs w:val="32"/>
          <w:lang w:eastAsia="zh-CN"/>
        </w:rPr>
        <w:t>）</w:t>
      </w:r>
      <w:r>
        <w:rPr>
          <w:rFonts w:hint="eastAsia" w:ascii="仿宋_GB2312" w:hAnsi="仿宋" w:eastAsia="仿宋_GB2312"/>
          <w:sz w:val="32"/>
          <w:szCs w:val="32"/>
        </w:rPr>
        <w:t>负责指导乡镇交通管理站交通业务工作。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17</w:t>
      </w:r>
      <w:r>
        <w:rPr>
          <w:rFonts w:hint="eastAsia" w:ascii="仿宋_GB2312" w:hAnsi="仿宋" w:eastAsia="仿宋_GB2312"/>
          <w:sz w:val="32"/>
          <w:szCs w:val="32"/>
          <w:lang w:eastAsia="zh-CN"/>
        </w:rPr>
        <w:t>）</w:t>
      </w:r>
      <w:r>
        <w:rPr>
          <w:rFonts w:hint="eastAsia" w:ascii="仿宋_GB2312" w:hAnsi="仿宋" w:eastAsia="仿宋_GB2312"/>
          <w:sz w:val="32"/>
          <w:szCs w:val="32"/>
        </w:rPr>
        <w:t>统筹领导协调和监督指导全县交通综合执法。负责监督指导、重大案件查处和跨区域执法的组织协调工作，承担由县本级办理的交通违法案件。推进交通依法行政。</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18</w:t>
      </w:r>
      <w:r>
        <w:rPr>
          <w:rFonts w:hint="eastAsia" w:ascii="仿宋_GB2312" w:hAnsi="仿宋" w:eastAsia="仿宋_GB2312"/>
          <w:sz w:val="32"/>
          <w:szCs w:val="32"/>
          <w:lang w:eastAsia="zh-CN"/>
        </w:rPr>
        <w:t>）</w:t>
      </w:r>
      <w:r>
        <w:rPr>
          <w:rFonts w:hint="eastAsia" w:ascii="仿宋_GB2312" w:hAnsi="仿宋" w:eastAsia="仿宋_GB2312"/>
          <w:sz w:val="32"/>
          <w:szCs w:val="32"/>
        </w:rPr>
        <w:t>负责职责范围内的安全生产和职业健康、生态环境保护、审批服务便民化等工作。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19</w:t>
      </w:r>
      <w:r>
        <w:rPr>
          <w:rFonts w:hint="eastAsia" w:ascii="仿宋_GB2312" w:hAnsi="仿宋" w:eastAsia="仿宋_GB2312"/>
          <w:sz w:val="32"/>
          <w:szCs w:val="32"/>
          <w:lang w:eastAsia="zh-CN"/>
        </w:rPr>
        <w:t>）</w:t>
      </w:r>
      <w:r>
        <w:rPr>
          <w:rFonts w:hint="eastAsia" w:ascii="仿宋_GB2312" w:hAnsi="仿宋" w:eastAsia="仿宋_GB2312"/>
          <w:sz w:val="32"/>
          <w:szCs w:val="32"/>
        </w:rPr>
        <w:t>完成县委、县政府交办的其他工作。</w:t>
      </w:r>
    </w:p>
    <w:p>
      <w:pPr>
        <w:pStyle w:val="15"/>
        <w:keepNext w:val="0"/>
        <w:keepLines w:val="0"/>
        <w:widowControl w:val="0"/>
        <w:shd w:val="clear" w:color="auto" w:fill="auto"/>
        <w:bidi w:val="0"/>
        <w:spacing w:before="0" w:after="0" w:line="659" w:lineRule="exact"/>
        <w:ind w:left="0" w:right="0" w:firstLine="840"/>
        <w:jc w:val="left"/>
      </w:pPr>
      <w:r>
        <w:rPr>
          <w:color w:val="000000"/>
          <w:spacing w:val="0"/>
          <w:w w:val="100"/>
          <w:position w:val="0"/>
        </w:rPr>
        <w:t>（二）</w:t>
      </w:r>
      <w:r>
        <w:rPr>
          <w:rFonts w:hint="eastAsia"/>
          <w:color w:val="000000"/>
          <w:spacing w:val="0"/>
          <w:w w:val="100"/>
          <w:position w:val="0"/>
          <w:lang w:eastAsia="zh-CN"/>
        </w:rPr>
        <w:t>夹江县交通运输局</w:t>
      </w:r>
      <w:r>
        <w:rPr>
          <w:rFonts w:ascii="Times New Roman" w:hAnsi="Times New Roman" w:eastAsia="Times New Roman" w:cs="Times New Roman"/>
          <w:color w:val="000000"/>
          <w:spacing w:val="0"/>
          <w:w w:val="100"/>
          <w:position w:val="0"/>
          <w:sz w:val="30"/>
          <w:szCs w:val="30"/>
        </w:rPr>
        <w:t>2022</w:t>
      </w:r>
      <w:r>
        <w:rPr>
          <w:color w:val="000000"/>
          <w:spacing w:val="0"/>
          <w:w w:val="100"/>
          <w:position w:val="0"/>
        </w:rPr>
        <w:t>年重点工作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2021年县交通运输局以打造人民满意交通为目标，</w:t>
      </w:r>
      <w:r>
        <w:rPr>
          <w:rFonts w:hint="eastAsia" w:ascii="仿宋_GB2312" w:hAnsi="仿宋_GB2312" w:eastAsia="仿宋_GB2312" w:cs="仿宋_GB2312"/>
          <w:sz w:val="32"/>
          <w:szCs w:val="32"/>
        </w:rPr>
        <w:t>统筹推进</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运输</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行业治理</w:t>
      </w:r>
      <w:r>
        <w:rPr>
          <w:rFonts w:hint="eastAsia" w:ascii="仿宋_GB2312" w:hAnsi="仿宋_GB2312" w:eastAsia="仿宋_GB2312" w:cs="仿宋_GB2312"/>
          <w:sz w:val="32"/>
          <w:szCs w:val="32"/>
        </w:rPr>
        <w:t>等各项工作，</w:t>
      </w:r>
      <w:r>
        <w:rPr>
          <w:rFonts w:hint="eastAsia" w:ascii="仿宋_GB2312" w:hAnsi="仿宋_GB2312" w:eastAsia="仿宋_GB2312" w:cs="仿宋_GB2312"/>
          <w:sz w:val="32"/>
          <w:szCs w:val="32"/>
          <w:lang w:eastAsia="zh-CN"/>
        </w:rPr>
        <w:t>加快交通基础设施补短，着力</w:t>
      </w:r>
      <w:r>
        <w:rPr>
          <w:rFonts w:hint="eastAsia" w:ascii="仿宋_GB2312" w:hAnsi="仿宋_GB2312" w:eastAsia="仿宋_GB2312" w:cs="仿宋_GB2312"/>
          <w:sz w:val="32"/>
          <w:szCs w:val="32"/>
        </w:rPr>
        <w:t>构建综合</w:t>
      </w:r>
      <w:r>
        <w:rPr>
          <w:rFonts w:hint="eastAsia" w:ascii="仿宋_GB2312" w:hAnsi="仿宋_GB2312" w:eastAsia="仿宋_GB2312" w:cs="仿宋_GB2312"/>
          <w:sz w:val="32"/>
          <w:szCs w:val="32"/>
          <w:lang w:eastAsia="zh-CN"/>
        </w:rPr>
        <w:t>交通运输</w:t>
      </w:r>
      <w:r>
        <w:rPr>
          <w:rFonts w:hint="eastAsia" w:ascii="仿宋_GB2312" w:hAnsi="仿宋_GB2312" w:eastAsia="仿宋_GB2312" w:cs="仿宋_GB2312"/>
          <w:sz w:val="32"/>
          <w:szCs w:val="32"/>
        </w:rPr>
        <w:t>体系，</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建设四川省县域经济发展先进县提供</w:t>
      </w:r>
      <w:r>
        <w:rPr>
          <w:rFonts w:hint="eastAsia" w:ascii="仿宋_GB2312" w:hAnsi="仿宋_GB2312" w:eastAsia="仿宋_GB2312" w:cs="仿宋_GB2312"/>
          <w:sz w:val="32"/>
          <w:szCs w:val="32"/>
          <w:lang w:eastAsia="zh-CN"/>
        </w:rPr>
        <w:t>交通</w:t>
      </w:r>
      <w:r>
        <w:rPr>
          <w:rFonts w:hint="eastAsia" w:ascii="仿宋_GB2312" w:hAnsi="仿宋_GB2312" w:eastAsia="仿宋_GB2312" w:cs="仿宋_GB2312"/>
          <w:sz w:val="32"/>
          <w:szCs w:val="32"/>
        </w:rPr>
        <w:t>先行支撑和有力保障。截止</w:t>
      </w:r>
      <w:r>
        <w:rPr>
          <w:rFonts w:hint="eastAsia" w:ascii="仿宋_GB2312" w:hAnsi="仿宋_GB2312" w:eastAsia="仿宋_GB2312" w:cs="仿宋_GB2312"/>
          <w:sz w:val="32"/>
          <w:szCs w:val="32"/>
          <w:lang w:eastAsia="zh-CN"/>
        </w:rPr>
        <w:t>目前，交通完成固定资产投资</w:t>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7021</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eastAsia="zh-CN"/>
        </w:rPr>
        <w:t>，向上争取资金3022.6万元，完成非税收入33</w:t>
      </w:r>
      <w:r>
        <w:rPr>
          <w:rFonts w:hint="eastAsia" w:ascii="仿宋_GB2312" w:hAnsi="仿宋_GB2312" w:eastAsia="仿宋_GB2312" w:cs="仿宋_GB2312"/>
          <w:sz w:val="32"/>
          <w:szCs w:val="32"/>
          <w:lang w:val="en-US" w:eastAsia="zh-CN"/>
        </w:rPr>
        <w:t>6.1896</w:t>
      </w:r>
      <w:r>
        <w:rPr>
          <w:rFonts w:hint="eastAsia" w:ascii="仿宋_GB2312" w:hAnsi="仿宋_GB2312" w:eastAsia="仿宋_GB2312" w:cs="仿宋_GB2312"/>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一、20</w:t>
      </w:r>
      <w:r>
        <w:rPr>
          <w:rFonts w:hint="eastAsia" w:ascii="黑体" w:hAnsi="黑体" w:eastAsia="黑体" w:cs="黑体"/>
          <w:sz w:val="32"/>
          <w:szCs w:val="32"/>
          <w:lang w:val="en-US" w:eastAsia="zh-CN"/>
        </w:rPr>
        <w:t>21</w:t>
      </w:r>
      <w:r>
        <w:rPr>
          <w:rFonts w:hint="eastAsia" w:ascii="黑体" w:hAnsi="黑体" w:eastAsia="黑体" w:cs="黑体"/>
          <w:sz w:val="32"/>
          <w:szCs w:val="32"/>
        </w:rPr>
        <w:t>年</w:t>
      </w:r>
      <w:r>
        <w:rPr>
          <w:rFonts w:hint="eastAsia" w:ascii="黑体" w:hAnsi="黑体" w:eastAsia="黑体" w:cs="黑体"/>
          <w:sz w:val="32"/>
          <w:szCs w:val="32"/>
          <w:lang w:eastAsia="zh-CN"/>
        </w:rPr>
        <w:t>交通运输</w:t>
      </w:r>
      <w:r>
        <w:rPr>
          <w:rFonts w:hint="eastAsia" w:ascii="黑体" w:hAnsi="黑体" w:eastAsia="黑体" w:cs="黑体"/>
          <w:sz w:val="32"/>
          <w:szCs w:val="32"/>
        </w:rPr>
        <w:t>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（一）科学规划强化引领。</w:t>
      </w:r>
      <w:r>
        <w:rPr>
          <w:rFonts w:hint="eastAsia" w:ascii="仿宋_GB2312" w:hAnsi="仿宋_GB2312" w:eastAsia="仿宋_GB2312" w:cs="仿宋_GB2312"/>
          <w:sz w:val="32"/>
          <w:szCs w:val="32"/>
        </w:rPr>
        <w:t>结合上位规划和区域经济发展，</w:t>
      </w:r>
      <w:r>
        <w:rPr>
          <w:rFonts w:hint="eastAsia" w:ascii="仿宋_GB2312" w:hAnsi="仿宋_GB2312" w:eastAsia="仿宋_GB2312" w:cs="仿宋_GB2312"/>
          <w:sz w:val="32"/>
          <w:szCs w:val="32"/>
          <w:lang w:eastAsia="zh-CN"/>
        </w:rPr>
        <w:t>围绕市第八次和县第十五次党代会精神，积极</w:t>
      </w:r>
      <w:r>
        <w:rPr>
          <w:rFonts w:hint="eastAsia" w:ascii="仿宋_GB2312" w:hAnsi="仿宋_GB2312" w:eastAsia="仿宋_GB2312" w:cs="仿宋_GB2312"/>
          <w:sz w:val="32"/>
          <w:szCs w:val="32"/>
        </w:rPr>
        <w:t>抢占交通区位制高点</w:t>
      </w:r>
      <w:r>
        <w:rPr>
          <w:rFonts w:hint="eastAsia" w:ascii="仿宋_GB2312" w:hAnsi="仿宋_GB2312" w:eastAsia="仿宋_GB2312" w:cs="仿宋_GB2312"/>
          <w:sz w:val="32"/>
          <w:szCs w:val="32"/>
          <w:lang w:eastAsia="zh-CN"/>
        </w:rPr>
        <w:t>目标定位，科学编制</w:t>
      </w:r>
      <w:r>
        <w:rPr>
          <w:rFonts w:hint="eastAsia" w:ascii="仿宋_GB2312" w:hAnsi="仿宋_GB2312" w:eastAsia="仿宋_GB2312" w:cs="仿宋_GB2312"/>
          <w:sz w:val="32"/>
          <w:szCs w:val="32"/>
        </w:rPr>
        <w:t>《夹江县“十四五”综合交通和物流发展规划》，积极对接国土空间规划预留了交通发展空间，力争形成“两纵一横”铁路网、“三纵一横”高速公路网、“两环八射”国省干线公路网，</w:t>
      </w:r>
      <w:r>
        <w:rPr>
          <w:rFonts w:hint="eastAsia" w:ascii="仿宋_GB2312" w:hAnsi="仿宋_GB2312" w:eastAsia="仿宋_GB2312" w:cs="仿宋_GB2312"/>
          <w:sz w:val="32"/>
          <w:szCs w:val="32"/>
          <w:lang w:eastAsia="zh-CN"/>
        </w:rPr>
        <w:t>打造美丽乡村产业路、旅游路，</w:t>
      </w:r>
      <w:r>
        <w:rPr>
          <w:rFonts w:hint="eastAsia" w:ascii="仿宋_GB2312" w:hAnsi="仿宋_GB2312" w:eastAsia="仿宋_GB2312" w:cs="仿宋_GB2312"/>
          <w:sz w:val="32"/>
          <w:szCs w:val="32"/>
        </w:rPr>
        <w:t>构建综合交通运输体系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建设乐山北部交通枢纽。</w:t>
      </w:r>
      <w:r>
        <w:rPr>
          <w:rFonts w:hint="eastAsia" w:ascii="仿宋_GB2312" w:hAnsi="仿宋_GB2312" w:eastAsia="仿宋_GB2312" w:cs="仿宋_GB2312"/>
          <w:sz w:val="32"/>
          <w:szCs w:val="32"/>
          <w:lang w:eastAsia="zh-CN"/>
        </w:rPr>
        <w:t>积极谋划，生成</w:t>
      </w:r>
      <w:r>
        <w:rPr>
          <w:rFonts w:hint="eastAsia" w:ascii="仿宋_GB2312" w:hAnsi="仿宋_GB2312" w:eastAsia="仿宋_GB2312" w:cs="仿宋_GB2312"/>
          <w:sz w:val="32"/>
          <w:szCs w:val="32"/>
          <w:lang w:val="en-US" w:eastAsia="zh-CN"/>
        </w:rPr>
        <w:t>2022年交通储备项目20个，</w:t>
      </w:r>
      <w:r>
        <w:rPr>
          <w:rFonts w:hint="eastAsia" w:ascii="仿宋_GB2312" w:hAnsi="仿宋_GB2312" w:eastAsia="仿宋_GB2312" w:cs="仿宋_GB2312"/>
          <w:sz w:val="32"/>
          <w:szCs w:val="32"/>
          <w:lang w:eastAsia="zh-CN"/>
        </w:rPr>
        <w:t>对接省市交通部门纳入项目库，快速推进G245线夹江青州至新场段新改建、</w:t>
      </w:r>
      <w:r>
        <w:rPr>
          <w:rFonts w:hint="eastAsia" w:ascii="仿宋_GB2312" w:hAnsi="仿宋_GB2312" w:eastAsia="仿宋_GB2312" w:cs="仿宋_GB2312"/>
          <w:sz w:val="32"/>
          <w:szCs w:val="32"/>
          <w:lang w:val="en-US" w:eastAsia="zh-CN"/>
        </w:rPr>
        <w:t>大件路改线工程高陶园区段、</w:t>
      </w:r>
      <w:r>
        <w:rPr>
          <w:rFonts w:hint="eastAsia" w:ascii="仿宋_GB2312" w:hAnsi="仿宋_GB2312" w:eastAsia="仿宋_GB2312" w:cs="仿宋_GB2312"/>
          <w:sz w:val="32"/>
          <w:szCs w:val="32"/>
          <w:lang w:eastAsia="zh-CN"/>
        </w:rPr>
        <w:t>G245线成乐高速连接线至合兴村段中修、省级“四好农村路”示范县创建对标补短项目等工程前期工作。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（二）项目建设加快推进。</w:t>
      </w:r>
      <w:r>
        <w:rPr>
          <w:rFonts w:hint="eastAsia" w:ascii="仿宋_GB2312" w:hAnsi="仿宋_GB2312" w:eastAsia="仿宋_GB2312" w:cs="仿宋_GB2312"/>
          <w:sz w:val="32"/>
          <w:szCs w:val="32"/>
          <w:lang w:val="en-US" w:eastAsia="zh-CN"/>
        </w:rPr>
        <w:t>成乐高速扩容夹江段主线和S215线甘江段建成通车，路网结构持续优化。</w:t>
      </w:r>
      <w:r>
        <w:rPr>
          <w:rFonts w:hint="eastAsia" w:ascii="仿宋_GB2312" w:hAnsi="仿宋_GB2312" w:eastAsia="仿宋_GB2312" w:cs="仿宋_GB2312"/>
          <w:sz w:val="32"/>
          <w:szCs w:val="32"/>
          <w:lang w:eastAsia="zh-CN"/>
        </w:rPr>
        <w:t>新改建三华路、三吴路、青马路、华麻路等</w:t>
      </w:r>
      <w:r>
        <w:rPr>
          <w:rFonts w:hint="eastAsia" w:ascii="仿宋_GB2312" w:hAnsi="仿宋_GB2312" w:eastAsia="仿宋_GB2312" w:cs="仿宋_GB2312"/>
          <w:sz w:val="32"/>
          <w:szCs w:val="32"/>
          <w:lang w:val="en-US" w:eastAsia="zh-CN"/>
        </w:rPr>
        <w:t>30公里县乡道，重建修复灾后毁损道路40.3公里，建成乡村旅游路3.7公里，“8.18”水毁公路桥梁抢通、撤并建制村畅通工程等项目即将完工，农村公路等级和通行能力进一步提升。省级“四好农村路”示范县深入推进，示范镇道路吴场茶叶产业和甘江蔬菜产业环线开工建设</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（三）运输服务提质增效。</w:t>
      </w:r>
      <w:r>
        <w:rPr>
          <w:rFonts w:hint="eastAsia" w:ascii="仿宋_GB2312" w:hAnsi="仿宋_GB2312" w:eastAsia="仿宋_GB2312" w:cs="仿宋_GB2312"/>
          <w:sz w:val="32"/>
          <w:szCs w:val="32"/>
          <w:lang w:val="en-US" w:eastAsia="zh-CN"/>
        </w:rPr>
        <w:t>2021年1月</w:t>
      </w:r>
      <w:r>
        <w:rPr>
          <w:rFonts w:hint="eastAsia" w:ascii="仿宋_GB2312" w:hAnsi="仿宋_GB2312" w:eastAsia="仿宋_GB2312" w:cs="仿宋_GB2312"/>
          <w:sz w:val="32"/>
          <w:szCs w:val="32"/>
          <w:lang w:eastAsia="zh-CN"/>
        </w:rPr>
        <w:t>火车乐山北站客运正式运营，2月305路、</w:t>
      </w:r>
      <w:r>
        <w:rPr>
          <w:rFonts w:hint="eastAsia" w:ascii="仿宋_GB2312" w:hAnsi="仿宋_GB2312" w:eastAsia="仿宋_GB2312" w:cs="仿宋_GB2312"/>
          <w:sz w:val="32"/>
          <w:szCs w:val="32"/>
          <w:lang w:val="en-US" w:eastAsia="zh-CN"/>
        </w:rPr>
        <w:t>307路</w:t>
      </w:r>
      <w:r>
        <w:rPr>
          <w:rFonts w:hint="eastAsia" w:ascii="仿宋_GB2312" w:hAnsi="仿宋_GB2312" w:eastAsia="仿宋_GB2312" w:cs="仿宋_GB2312"/>
          <w:sz w:val="32"/>
          <w:szCs w:val="32"/>
          <w:lang w:eastAsia="zh-CN"/>
        </w:rPr>
        <w:t>城际公交开通，全县运行公交线路达</w:t>
      </w:r>
      <w:r>
        <w:rPr>
          <w:rFonts w:hint="eastAsia" w:ascii="仿宋_GB2312" w:hAnsi="仿宋_GB2312" w:eastAsia="仿宋_GB2312" w:cs="仿宋_GB2312"/>
          <w:sz w:val="32"/>
          <w:szCs w:val="32"/>
          <w:lang w:val="en-US" w:eastAsia="zh-CN"/>
        </w:rPr>
        <w:t>11条。</w:t>
      </w:r>
      <w:r>
        <w:rPr>
          <w:rFonts w:hint="eastAsia" w:ascii="仿宋_GB2312" w:hAnsi="仿宋_GB2312" w:eastAsia="仿宋_GB2312" w:cs="仿宋_GB2312"/>
          <w:sz w:val="32"/>
          <w:szCs w:val="32"/>
          <w:lang w:eastAsia="zh-CN"/>
        </w:rPr>
        <w:t>深入实施乡村客运“金通工程”，</w:t>
      </w:r>
      <w:r>
        <w:rPr>
          <w:rFonts w:hint="eastAsia" w:ascii="仿宋_GB2312" w:hAnsi="仿宋_GB2312" w:eastAsia="仿宋_GB2312" w:cs="仿宋_GB2312"/>
          <w:sz w:val="32"/>
          <w:szCs w:val="32"/>
        </w:rPr>
        <w:t>建设2</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个村级招呼站牌</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公交站牌</w:t>
      </w:r>
      <w:r>
        <w:rPr>
          <w:rFonts w:hint="eastAsia" w:ascii="仿宋_GB2312" w:hAnsi="仿宋_GB2312" w:eastAsia="仿宋_GB2312" w:cs="仿宋_GB2312"/>
          <w:sz w:val="32"/>
          <w:szCs w:val="32"/>
          <w:lang w:eastAsia="zh-CN"/>
        </w:rPr>
        <w:t>，全面完成“四统一”，共运行客运班线23条，实现村村通客车。开展“金通工</w:t>
      </w:r>
      <w:r>
        <w:rPr>
          <w:rFonts w:hint="eastAsia" w:ascii="仿宋_GB2312" w:hAnsi="仿宋_GB2312" w:eastAsia="仿宋_GB2312" w:cs="仿宋_GB2312"/>
          <w:sz w:val="32"/>
          <w:szCs w:val="32"/>
        </w:rPr>
        <w:t>程·天府交邮通”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推进县乡村三级物流体系建设，建设</w:t>
      </w:r>
      <w:r>
        <w:rPr>
          <w:rFonts w:hint="eastAsia" w:ascii="仿宋_GB2312" w:hAnsi="仿宋_GB2312" w:eastAsia="仿宋_GB2312" w:cs="仿宋_GB2312"/>
          <w:sz w:val="32"/>
          <w:szCs w:val="32"/>
        </w:rPr>
        <w:t>华头镇交邮合作试点镇。</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完成道路运输客运量766.48万人次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客运周转量8871.61万人公里，与去年同期相比分别增长10.69%和42.45%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完成公路货运量2800.22万吨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货运周转量245197.80万吨公里，与去年同期相比分别增加15.19%和16.9%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完成铁路货运吞吐量204.322万吨，其中发送量15.608万吨、到站量188.714万吨；</w:t>
      </w:r>
      <w:r>
        <w:rPr>
          <w:rFonts w:hint="eastAsia" w:ascii="仿宋_GB2312" w:hAnsi="仿宋_GB2312" w:eastAsia="仿宋_GB2312" w:cs="仿宋_GB2312"/>
          <w:sz w:val="32"/>
          <w:szCs w:val="32"/>
        </w:rPr>
        <w:t>完成水上交通客运量0.28万人次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客运周转量1.27万人公里，完成水上货运量8.63万吨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货运周转量18618.59万吨公里。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（四）公路管养明显提升。</w:t>
      </w:r>
      <w:r>
        <w:rPr>
          <w:rFonts w:hint="eastAsia" w:ascii="仿宋_GB2312" w:hAnsi="仿宋_GB2312" w:eastAsia="仿宋_GB2312" w:cs="仿宋_GB2312"/>
          <w:sz w:val="32"/>
          <w:szCs w:val="32"/>
          <w:lang w:eastAsia="zh-CN"/>
        </w:rPr>
        <w:t>深化农村公路管养体制改革，实施路长制，设置县乡村道路长公示牌506个。开展普通公路“八清”行动，全年投入人工14255人次、机械1100台次，投入经费约175.6万元，共清洗路面663公里、清理桥涵358座、清洗护栏419公里等。扎实开展汛期抢险保通，排查整改公路隐患159处，入汛以来投入抢险人员200人次，出动装载机等抢险机械</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lang w:eastAsia="zh-CN"/>
        </w:rPr>
        <w:t>台次，清理塌方1220m</w:t>
      </w:r>
      <w:r>
        <w:rPr>
          <w:rFonts w:hint="eastAsia" w:ascii="仿宋_GB2312" w:hAnsi="仿宋_GB2312" w:eastAsia="仿宋_GB2312" w:cs="仿宋_GB2312"/>
          <w:sz w:val="32"/>
          <w:szCs w:val="32"/>
          <w:vertAlign w:val="superscript"/>
          <w:lang w:eastAsia="zh-CN"/>
        </w:rPr>
        <w:t>3</w:t>
      </w:r>
      <w:r>
        <w:rPr>
          <w:rFonts w:hint="eastAsia" w:ascii="仿宋_GB2312" w:hAnsi="仿宋_GB2312" w:eastAsia="仿宋_GB2312" w:cs="仿宋_GB2312"/>
          <w:sz w:val="32"/>
          <w:szCs w:val="32"/>
          <w:lang w:eastAsia="zh-CN"/>
        </w:rPr>
        <w:t>。每天对国省干线等重点公路进行洒水降尘36台次以上。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（五）行业治理持续优化。</w:t>
      </w:r>
      <w:r>
        <w:rPr>
          <w:rFonts w:hint="eastAsia" w:ascii="仿宋_GB2312" w:hAnsi="仿宋_GB2312" w:eastAsia="仿宋_GB2312" w:cs="仿宋_GB2312"/>
          <w:sz w:val="32"/>
          <w:szCs w:val="32"/>
          <w:lang w:val="en-US" w:eastAsia="zh-CN"/>
        </w:rPr>
        <w:t>深入推进交通系统安全生产专项整治三年行动和安全生产清单制管理，扎实开展防汛减灾、企业安全生产标准化建设评价、迎“七一”百日攻坚、道路客货运输突出违法违规行为、水上运输、在建工程等专项整治，全面开展安全隐患大排查大整治，查处整改各类安全问题292起，</w:t>
      </w:r>
      <w:r>
        <w:rPr>
          <w:rFonts w:hint="eastAsia" w:ascii="仿宋_GB2312" w:hAnsi="仿宋_GB2312" w:eastAsia="仿宋_GB2312" w:cs="仿宋_GB2312"/>
          <w:sz w:val="32"/>
          <w:szCs w:val="32"/>
        </w:rPr>
        <w:t>交通运输行业安全生产形势持续稳定。</w:t>
      </w:r>
      <w:r>
        <w:rPr>
          <w:rFonts w:hint="eastAsia" w:ascii="仿宋_GB2312" w:hAnsi="仿宋_GB2312" w:eastAsia="仿宋_GB2312" w:cs="仿宋_GB2312"/>
          <w:sz w:val="32"/>
          <w:szCs w:val="32"/>
          <w:lang w:eastAsia="zh-CN"/>
        </w:rPr>
        <w:t>强化</w:t>
      </w:r>
      <w:r>
        <w:rPr>
          <w:rFonts w:hint="eastAsia" w:ascii="仿宋_GB2312" w:hAnsi="仿宋_GB2312" w:eastAsia="仿宋_GB2312" w:cs="仿宋_GB2312"/>
          <w:sz w:val="32"/>
          <w:szCs w:val="32"/>
        </w:rPr>
        <w:t>源头管理和动态监管，</w:t>
      </w:r>
      <w:r>
        <w:rPr>
          <w:rFonts w:hint="eastAsia" w:ascii="仿宋_GB2312" w:hAnsi="仿宋_GB2312" w:eastAsia="仿宋_GB2312" w:cs="仿宋_GB2312"/>
          <w:sz w:val="32"/>
          <w:szCs w:val="32"/>
          <w:lang w:eastAsia="zh-CN"/>
        </w:rPr>
        <w:t>检查货运源头企业</w:t>
      </w:r>
      <w:r>
        <w:rPr>
          <w:rFonts w:hint="eastAsia" w:ascii="仿宋_GB2312" w:hAnsi="仿宋_GB2312" w:eastAsia="仿宋_GB2312" w:cs="仿宋_GB2312"/>
          <w:sz w:val="32"/>
          <w:szCs w:val="32"/>
          <w:lang w:val="en-US" w:eastAsia="zh-CN"/>
        </w:rPr>
        <w:t>100家次，查处超限车辆319台次，制止和纠正抛洒滴漏、带泥出厂（场）污染公路行为79件，查处非法改拼装货运车辆376辆和非法营运车辆36辆，路域环境持续改善。</w:t>
      </w:r>
      <w:r>
        <w:rPr>
          <w:rFonts w:hint="eastAsia" w:ascii="仿宋_GB2312" w:hAnsi="仿宋_GB2312" w:eastAsia="仿宋_GB2312" w:cs="仿宋_GB2312"/>
          <w:sz w:val="32"/>
          <w:szCs w:val="32"/>
        </w:rPr>
        <w:t>常态化抓</w:t>
      </w:r>
      <w:r>
        <w:rPr>
          <w:rFonts w:hint="eastAsia" w:ascii="仿宋_GB2312" w:hAnsi="仿宋_GB2312" w:eastAsia="仿宋_GB2312" w:cs="仿宋_GB2312"/>
          <w:sz w:val="32"/>
          <w:szCs w:val="32"/>
          <w:lang w:eastAsia="zh-CN"/>
        </w:rPr>
        <w:t>实交通客运场站、运输车辆等行业</w:t>
      </w:r>
      <w:r>
        <w:rPr>
          <w:rFonts w:hint="eastAsia" w:ascii="仿宋_GB2312" w:hAnsi="仿宋_GB2312" w:eastAsia="仿宋_GB2312" w:cs="仿宋_GB2312"/>
          <w:sz w:val="32"/>
          <w:szCs w:val="32"/>
        </w:rPr>
        <w:t>疫情防控</w:t>
      </w:r>
      <w:r>
        <w:rPr>
          <w:rFonts w:hint="eastAsia" w:ascii="仿宋_GB2312" w:hAnsi="仿宋_GB2312" w:eastAsia="仿宋_GB2312" w:cs="仿宋_GB2312"/>
          <w:sz w:val="32"/>
          <w:szCs w:val="32"/>
          <w:lang w:eastAsia="zh-CN"/>
        </w:rPr>
        <w:t>措施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严密</w:t>
      </w:r>
      <w:r>
        <w:rPr>
          <w:rFonts w:hint="eastAsia" w:ascii="仿宋_GB2312" w:hAnsi="仿宋_GB2312" w:eastAsia="仿宋_GB2312" w:cs="仿宋_GB2312"/>
          <w:sz w:val="32"/>
          <w:szCs w:val="32"/>
        </w:rPr>
        <w:t>防范进口冷链食品物流渠道传播风险，</w:t>
      </w:r>
      <w:r>
        <w:rPr>
          <w:rFonts w:hint="eastAsia" w:ascii="仿宋_GB2312" w:hAnsi="仿宋_GB2312" w:eastAsia="仿宋_GB2312" w:cs="仿宋_GB2312"/>
          <w:sz w:val="32"/>
          <w:szCs w:val="32"/>
          <w:lang w:eastAsia="zh-CN"/>
        </w:rPr>
        <w:t>防止了通过交通渠道传播</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（六）巡视巡察整改全面推进。</w:t>
      </w:r>
      <w:r>
        <w:rPr>
          <w:rFonts w:hint="eastAsia" w:ascii="仿宋_GB2312" w:hAnsi="仿宋_GB2312" w:eastAsia="仿宋_GB2312" w:cs="仿宋_GB2312"/>
          <w:sz w:val="32"/>
          <w:szCs w:val="32"/>
          <w:lang w:val="en-US" w:eastAsia="zh-CN"/>
        </w:rPr>
        <w:t>从严从实抓好省委第十二巡视组巡视、市县联动巡察组巡察、县委第三巡察组巡察反馈问题整改，局党组专题研究整改15次，督促检查6轮次，整改完成各类问题40个，建立完善机关后勤管理、差旅费报销管理、资金拨付等管理制度12项，推动整改常态长效。青马路人行护栏安装和14条等外公路建设完成，农村公路安防设施全覆盖一期工程完成18公里波形护栏安装，成乐高速公路青神新互通至三洞段连接线畅通项目夹江县吴场镇新合村茶叶产业道路改建工程正在开展水土保持方案报批、招标控制价审定、招标文件编制及征地拆迁工作，计划2021年1月挂网招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（七）“以案促改”扎实开展。</w:t>
      </w:r>
      <w:r>
        <w:rPr>
          <w:rFonts w:hint="eastAsia" w:ascii="仿宋_GB2312" w:hAnsi="仿宋_GB2312" w:eastAsia="仿宋_GB2312" w:cs="仿宋_GB2312"/>
          <w:sz w:val="32"/>
          <w:szCs w:val="32"/>
          <w:lang w:eastAsia="zh-CN"/>
        </w:rPr>
        <w:t>围绕</w:t>
      </w:r>
      <w:r>
        <w:rPr>
          <w:rFonts w:hint="eastAsia" w:ascii="仿宋_GB2312" w:hAnsi="仿宋_GB2312" w:eastAsia="仿宋_GB2312" w:cs="仿宋_GB2312"/>
          <w:sz w:val="32"/>
          <w:szCs w:val="32"/>
        </w:rPr>
        <w:t>规范权力运用、遵纪守法、制度监督执行</w:t>
      </w:r>
      <w:r>
        <w:rPr>
          <w:rFonts w:hint="eastAsia" w:ascii="仿宋_GB2312" w:hAnsi="仿宋_GB2312" w:eastAsia="仿宋_GB2312" w:cs="仿宋_GB2312"/>
          <w:sz w:val="32"/>
          <w:szCs w:val="32"/>
          <w:lang w:eastAsia="zh-CN"/>
        </w:rPr>
        <w:t>等方面建立健全防控机制，结合党史学习教育开展</w:t>
      </w:r>
      <w:r>
        <w:rPr>
          <w:rFonts w:hint="eastAsia" w:ascii="仿宋_GB2312" w:hAnsi="仿宋_GB2312" w:eastAsia="仿宋_GB2312" w:cs="仿宋_GB2312"/>
          <w:sz w:val="32"/>
          <w:szCs w:val="32"/>
          <w:lang w:val="en-US" w:eastAsia="zh-CN"/>
        </w:rPr>
        <w:t>30次集体学习，</w:t>
      </w:r>
      <w:r>
        <w:rPr>
          <w:rFonts w:hint="eastAsia" w:ascii="仿宋_GB2312" w:hAnsi="仿宋_GB2312" w:eastAsia="仿宋_GB2312" w:cs="仿宋_GB2312"/>
          <w:sz w:val="32"/>
          <w:szCs w:val="32"/>
          <w:lang w:eastAsia="zh-CN"/>
        </w:rPr>
        <w:t>加强干部职工</w:t>
      </w:r>
      <w:r>
        <w:rPr>
          <w:rFonts w:hint="eastAsia" w:ascii="仿宋_GB2312" w:hAnsi="仿宋_GB2312" w:eastAsia="仿宋_GB2312" w:cs="仿宋_GB2312"/>
          <w:sz w:val="32"/>
          <w:szCs w:val="32"/>
        </w:rPr>
        <w:t>理想信念</w:t>
      </w:r>
      <w:r>
        <w:rPr>
          <w:rFonts w:hint="eastAsia" w:ascii="仿宋_GB2312" w:hAnsi="仿宋_GB2312" w:eastAsia="仿宋_GB2312" w:cs="仿宋_GB2312"/>
          <w:sz w:val="32"/>
          <w:szCs w:val="32"/>
          <w:lang w:eastAsia="zh-CN"/>
        </w:rPr>
        <w:t>教育。强化廉洁警示教育，</w:t>
      </w:r>
      <w:r>
        <w:rPr>
          <w:rFonts w:hint="eastAsia" w:ascii="仿宋_GB2312" w:hAnsi="仿宋_GB2312" w:eastAsia="仿宋_GB2312" w:cs="仿宋_GB2312"/>
          <w:sz w:val="32"/>
          <w:szCs w:val="32"/>
          <w:lang w:val="en-US" w:eastAsia="zh-CN"/>
        </w:rPr>
        <w:t>组织交通系统干部职工观看廉政警示教育片3场次，开展廉洁警示教育5场次，进行党纪国法学习教育20场次，开展书记讲廉政党课3次，组织到中核集团党性教育等基地进行党史国情廉政现场教学10批次500人次，时刻</w:t>
      </w:r>
      <w:r>
        <w:rPr>
          <w:rFonts w:hint="eastAsia" w:ascii="仿宋_GB2312" w:hAnsi="仿宋_GB2312" w:eastAsia="仿宋_GB2312" w:cs="仿宋_GB2312"/>
          <w:sz w:val="32"/>
          <w:szCs w:val="32"/>
          <w:lang w:eastAsia="zh-CN"/>
        </w:rPr>
        <w:t>教育引导党员干部担当作为</w:t>
      </w:r>
      <w:r>
        <w:rPr>
          <w:rFonts w:hint="eastAsia" w:ascii="仿宋_GB2312" w:hAnsi="仿宋_GB2312" w:eastAsia="仿宋_GB2312" w:cs="仿宋_GB2312"/>
          <w:sz w:val="32"/>
          <w:szCs w:val="32"/>
          <w:lang w:val="en-US" w:eastAsia="zh-CN"/>
        </w:rPr>
        <w:t>。交通系统全覆盖开展谈心谈话1轮，干部职工全部签订规范用权、杜绝违规收受礼品礼金红包行为承诺书，加大监督检查，严防“吃拿卡要”和“微腐败”行为发生。建立健全廉政风险防控体系，干部职工全面自查自身岗位廉政风险，查出</w:t>
      </w:r>
      <w:r>
        <w:rPr>
          <w:rFonts w:hint="eastAsia" w:ascii="仿宋_GB2312" w:hAnsi="仿宋_GB2312" w:eastAsia="仿宋_GB2312" w:cs="仿宋_GB2312"/>
          <w:sz w:val="32"/>
          <w:szCs w:val="32"/>
        </w:rPr>
        <w:t>廉政风险点</w:t>
      </w:r>
      <w:r>
        <w:rPr>
          <w:rFonts w:hint="eastAsia" w:ascii="仿宋_GB2312" w:hAnsi="仿宋_GB2312" w:eastAsia="仿宋_GB2312" w:cs="仿宋_GB2312"/>
          <w:sz w:val="32"/>
          <w:szCs w:val="32"/>
          <w:lang w:val="en-US" w:eastAsia="zh-CN"/>
        </w:rPr>
        <w:t>40个，制定</w:t>
      </w:r>
      <w:r>
        <w:rPr>
          <w:rFonts w:hint="eastAsia" w:ascii="仿宋_GB2312" w:hAnsi="仿宋_GB2312" w:eastAsia="仿宋_GB2312" w:cs="仿宋_GB2312"/>
          <w:sz w:val="32"/>
          <w:szCs w:val="32"/>
        </w:rPr>
        <w:t>防控措施</w:t>
      </w:r>
      <w:r>
        <w:rPr>
          <w:rFonts w:hint="eastAsia" w:ascii="仿宋_GB2312" w:hAnsi="仿宋_GB2312" w:eastAsia="仿宋_GB2312" w:cs="仿宋_GB2312"/>
          <w:sz w:val="32"/>
          <w:szCs w:val="32"/>
          <w:lang w:val="en-US" w:eastAsia="zh-CN"/>
        </w:rPr>
        <w:t>60条。深入开展违规用权违规收受礼品礼金红包、落实中央八项规定精神严肃财经纪律、交通建设招投标领域和政府采购突出问题系统治理、交通工程建设管理突出问题、交通运输执法领域突出问题专项整治，制定完善招投标、项目管理、交通执法等方面规范管理制度8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二、202</w:t>
      </w: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年工作安排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2022年交通运输工作思路：</w:t>
      </w:r>
      <w:r>
        <w:rPr>
          <w:rFonts w:hint="eastAsia" w:ascii="仿宋_GB2312" w:hAnsi="仿宋_GB2312" w:eastAsia="仿宋_GB2312" w:cs="仿宋_GB2312"/>
          <w:sz w:val="32"/>
          <w:szCs w:val="32"/>
          <w:lang w:val="en-US" w:eastAsia="zh-CN"/>
        </w:rPr>
        <w:t>紧扣“交通运输高质量发展”总要求，结合市委“345”工作思路，抢抓成渝地区双城经济圈建设和乐山建设区域综合交通枢纽机遇，变区位优势为交通优势，变交通优势为发展优势，全面推动交通强县建设，为我县建设全国民用核技术发展高地、先进制造集聚区和现代农业示范区提供强有力交通运输保障。围绕抢抓交通区位制高点，</w:t>
      </w:r>
      <w:r>
        <w:rPr>
          <w:rFonts w:hint="eastAsia" w:ascii="仿宋_GB2312" w:hAnsi="仿宋_GB2312" w:eastAsia="仿宋_GB2312" w:cs="仿宋_GB2312"/>
          <w:sz w:val="32"/>
          <w:szCs w:val="32"/>
          <w:lang w:eastAsia="zh-CN"/>
        </w:rPr>
        <w:t>促进夹乐同城化发展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打造乐山</w:t>
      </w:r>
      <w:r>
        <w:rPr>
          <w:rFonts w:hint="eastAsia" w:ascii="仿宋_GB2312" w:hAnsi="仿宋_GB2312" w:eastAsia="仿宋_GB2312" w:cs="仿宋_GB2312"/>
          <w:sz w:val="32"/>
          <w:szCs w:val="32"/>
        </w:rPr>
        <w:t>融入成渝</w:t>
      </w:r>
      <w:r>
        <w:rPr>
          <w:rFonts w:hint="eastAsia" w:ascii="仿宋_GB2312" w:hAnsi="仿宋_GB2312" w:eastAsia="仿宋_GB2312" w:cs="仿宋_GB2312"/>
          <w:sz w:val="32"/>
          <w:szCs w:val="32"/>
          <w:lang w:eastAsia="zh-CN"/>
        </w:rPr>
        <w:t>双城</w:t>
      </w:r>
      <w:r>
        <w:rPr>
          <w:rFonts w:hint="eastAsia" w:ascii="仿宋_GB2312" w:hAnsi="仿宋_GB2312" w:eastAsia="仿宋_GB2312" w:cs="仿宋_GB2312"/>
          <w:sz w:val="32"/>
          <w:szCs w:val="32"/>
        </w:rPr>
        <w:t>经济圈</w:t>
      </w:r>
      <w:r>
        <w:rPr>
          <w:rFonts w:hint="eastAsia" w:ascii="仿宋_GB2312" w:hAnsi="仿宋_GB2312" w:eastAsia="仿宋_GB2312" w:cs="仿宋_GB2312"/>
          <w:sz w:val="32"/>
          <w:szCs w:val="32"/>
          <w:lang w:eastAsia="zh-CN"/>
        </w:rPr>
        <w:t>交通一体化的桥头堡，</w:t>
      </w:r>
      <w:r>
        <w:rPr>
          <w:rFonts w:hint="eastAsia" w:ascii="仿宋_GB2312" w:hAnsi="仿宋_GB2312" w:eastAsia="仿宋_GB2312" w:cs="仿宋_GB2312"/>
          <w:sz w:val="32"/>
          <w:szCs w:val="32"/>
          <w:lang w:val="en-US" w:eastAsia="zh-CN"/>
        </w:rPr>
        <w:t>优化路网布局，打通“四向”通道，完善城际交通体系，</w:t>
      </w:r>
      <w:r>
        <w:rPr>
          <w:rFonts w:hint="eastAsia" w:ascii="仿宋_GB2312" w:hAnsi="仿宋_GB2312" w:eastAsia="仿宋_GB2312" w:cs="仿宋_GB2312"/>
          <w:sz w:val="32"/>
          <w:szCs w:val="32"/>
          <w:lang w:eastAsia="zh-CN"/>
        </w:rPr>
        <w:t>推动“交通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旅游”、“交通</w:t>
      </w:r>
      <w:r>
        <w:rPr>
          <w:rFonts w:hint="eastAsia" w:ascii="仿宋_GB2312" w:hAnsi="仿宋_GB2312" w:eastAsia="仿宋_GB2312" w:cs="仿宋_GB2312"/>
          <w:sz w:val="32"/>
          <w:szCs w:val="32"/>
          <w:lang w:val="en-US" w:eastAsia="zh-CN"/>
        </w:rPr>
        <w:t>+产业”深度融合发展，畅通农村公路毛细血管，建设产业环线、旅游环线，优化运输服务，提升路域管理能力，建成省级“四好农村路”示范县。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（一）畅通对外大通道。</w:t>
      </w:r>
      <w:r>
        <w:rPr>
          <w:rFonts w:hint="eastAsia" w:ascii="仿宋_GB2312" w:hAnsi="仿宋_GB2312" w:eastAsia="仿宋_GB2312" w:cs="仿宋_GB2312"/>
          <w:sz w:val="32"/>
          <w:szCs w:val="32"/>
          <w:lang w:val="en-US" w:eastAsia="zh-CN"/>
        </w:rPr>
        <w:t>配合成昆铁路公司加快推进成昆铁路乐山北站货站建设并投入使用。依托成昆铁路大动脉，规划建设乐山北货站场配套建设集仓储、集散、配送为一体的黄土现代综合交通物流园，做好利用吴场火车站建设成都平原经济区重要物流集散中心的前期规划研究。加快推进成乐高速扩容配套工程建设，力争春节前夹江互通连接线建成通车，2022年6月定慧互通连接线建成通车，打造“一路一景”，同步完成连接线绿化亮化。配合做好天福超级主题服务区的规划建设，并根据确定后的服务区方案设置好出入口及连接线建设。配合做好彭峨高速公路和乐荥高速公路前期规划勘察设计工作。提档升级干线公路，加快推进G245线夹江青州（青神界）至新场段新改建工程、S428线夹江段大件路改线工程和S307线夹江县过境（新场至青衣）段改线工程等项目前期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（二）加快完善交通基础设施。</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G245线成乐高速连接线至合兴村段中修工程、夹江县青州大桥（原土主大桥）危桥拆除重建工程、S215线城区通道（新华客运站至圆通稀土厂）道路路面整治工程、X092线华头镇至峨眉山市川主公路段提升改造工程</w:t>
      </w:r>
      <w:r>
        <w:rPr>
          <w:rFonts w:hint="eastAsia" w:ascii="仿宋_GB2312" w:hAnsi="仿宋_GB2312" w:eastAsia="仿宋_GB2312" w:cs="仿宋_GB2312"/>
          <w:sz w:val="32"/>
          <w:szCs w:val="32"/>
          <w:lang w:eastAsia="zh-CN"/>
        </w:rPr>
        <w:t>和撤并建制村畅通工程、铁索桥拆除重建等项目。完成省委十二巡视组巡视整改项目</w:t>
      </w:r>
      <w:r>
        <w:rPr>
          <w:rFonts w:hint="eastAsia" w:ascii="仿宋_GB2312" w:hAnsi="仿宋_GB2312" w:eastAsia="仿宋_GB2312" w:cs="仿宋_GB2312"/>
          <w:sz w:val="32"/>
          <w:szCs w:val="32"/>
        </w:rPr>
        <w:t>夹江县农村公路交安设施全覆盖工程</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夹江县吴场镇新合村茶叶产业道路改建工程</w:t>
      </w:r>
      <w:r>
        <w:rPr>
          <w:rFonts w:hint="eastAsia" w:ascii="仿宋_GB2312" w:hAnsi="仿宋_GB2312" w:eastAsia="仿宋_GB2312" w:cs="仿宋_GB2312"/>
          <w:sz w:val="32"/>
          <w:szCs w:val="32"/>
          <w:lang w:eastAsia="zh-CN"/>
        </w:rPr>
        <w:t>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（三）建设省级“四好农村路”示范县。</w:t>
      </w:r>
      <w:r>
        <w:rPr>
          <w:rFonts w:hint="eastAsia" w:ascii="仿宋_GB2312" w:hAnsi="仿宋_GB2312" w:eastAsia="仿宋_GB2312" w:cs="仿宋_GB2312"/>
          <w:sz w:val="32"/>
          <w:szCs w:val="32"/>
          <w:lang w:val="en-US" w:eastAsia="zh-CN"/>
        </w:rPr>
        <w:t>推进建管养运协调发展，实施省级“四好农村路”示范县创建对标补短项目，打造“甘江—新场—吴场”百里茶产业环形走廊，</w:t>
      </w:r>
      <w:r>
        <w:rPr>
          <w:rFonts w:hint="eastAsia" w:ascii="仿宋_GB2312" w:hAnsi="仿宋_GB2312" w:eastAsia="仿宋_GB2312" w:cs="仿宋_GB2312"/>
          <w:sz w:val="32"/>
          <w:szCs w:val="32"/>
          <w:lang w:eastAsia="zh-CN"/>
        </w:rPr>
        <w:t>开展甘江、吴场示范镇和示范村创建，建成</w:t>
      </w:r>
      <w:r>
        <w:rPr>
          <w:rFonts w:hint="eastAsia" w:ascii="仿宋_GB2312" w:hAnsi="仿宋_GB2312" w:eastAsia="仿宋_GB2312" w:cs="仿宋_GB2312"/>
          <w:sz w:val="32"/>
          <w:szCs w:val="32"/>
          <w:lang w:val="en-US" w:eastAsia="zh-CN"/>
        </w:rPr>
        <w:t>吴场茶叶产业和甘江蔬菜产业环线，建设幸福美丽乡村路。加快对符合条件的农村客运班线实施公交化改造，积极争创“金通工程”样板县创建，完善农村客运和县乡村物流服务体系建设</w:t>
      </w:r>
      <w:r>
        <w:rPr>
          <w:rFonts w:hint="eastAsia" w:ascii="仿宋_GB2312" w:hAnsi="仿宋_GB2312" w:eastAsia="仿宋_GB2312" w:cs="仿宋_GB2312"/>
          <w:sz w:val="32"/>
          <w:szCs w:val="32"/>
          <w:lang w:eastAsia="zh-CN"/>
        </w:rPr>
        <w:t>。推进农村公路管养体制改革，深入“路长制”，压实县、乡、村三级农村公路管理职责，深化普通公路“八清”行动，加强路产路权保护和</w:t>
      </w:r>
      <w:r>
        <w:rPr>
          <w:rFonts w:hint="eastAsia" w:ascii="仿宋_GB2312" w:hAnsi="仿宋_GB2312" w:eastAsia="仿宋_GB2312" w:cs="仿宋_GB2312"/>
          <w:sz w:val="32"/>
          <w:szCs w:val="32"/>
        </w:rPr>
        <w:t>路域环境综合治理</w:t>
      </w:r>
      <w:r>
        <w:rPr>
          <w:rFonts w:hint="eastAsia" w:ascii="仿宋_GB2312" w:hAnsi="仿宋_GB2312" w:eastAsia="仿宋_GB2312" w:cs="仿宋_GB2312"/>
          <w:sz w:val="32"/>
          <w:szCs w:val="32"/>
          <w:lang w:eastAsia="zh-CN"/>
        </w:rPr>
        <w:t>。</w:t>
      </w:r>
    </w:p>
    <w:p>
      <w:pPr>
        <w:pStyle w:val="11"/>
        <w:keepNext w:val="0"/>
        <w:keepLines w:val="0"/>
        <w:widowControl w:val="0"/>
        <w:shd w:val="clear" w:color="auto" w:fill="auto"/>
        <w:bidi w:val="0"/>
        <w:spacing w:before="0" w:after="0" w:line="659" w:lineRule="exact"/>
        <w:ind w:left="0" w:right="0" w:firstLine="700"/>
        <w:jc w:val="both"/>
        <w:rPr>
          <w:rFonts w:hint="eastAsia" w:eastAsia="宋体"/>
          <w:lang w:eastAsia="zh-CN"/>
        </w:rPr>
        <w:sectPr>
          <w:footerReference r:id="rId13" w:type="first"/>
          <w:footerReference r:id="rId11" w:type="default"/>
          <w:footerReference r:id="rId12" w:type="even"/>
          <w:footnotePr>
            <w:numFmt w:val="decimal"/>
          </w:footnotePr>
          <w:pgSz w:w="11900" w:h="16840"/>
          <w:pgMar w:top="1934" w:right="1396" w:bottom="1968" w:left="1591" w:header="0" w:footer="3" w:gutter="0"/>
          <w:cols w:space="720" w:num="1"/>
          <w:titlePg/>
          <w:rtlGutter w:val="0"/>
          <w:docGrid w:linePitch="360" w:charSpace="0"/>
        </w:sectPr>
      </w:pPr>
      <w:r>
        <w:rPr>
          <w:rFonts w:hint="eastAsia" w:ascii="楷体_GB2312" w:hAnsi="楷体_GB2312" w:eastAsia="楷体_GB2312" w:cs="楷体_GB2312"/>
          <w:sz w:val="32"/>
          <w:szCs w:val="32"/>
          <w:lang w:val="en-US" w:eastAsia="zh-CN"/>
        </w:rPr>
        <w:t>（四）加强行业监管和能力水平提升。</w:t>
      </w:r>
      <w:r>
        <w:rPr>
          <w:rFonts w:hint="eastAsia" w:ascii="仿宋_GB2312" w:hAnsi="仿宋_GB2312" w:eastAsia="仿宋_GB2312" w:cs="仿宋_GB2312"/>
          <w:sz w:val="32"/>
          <w:szCs w:val="32"/>
        </w:rPr>
        <w:t>加强执法规范化建设，深入推进基层执法站所“四基四化”建设，</w:t>
      </w:r>
      <w:r>
        <w:rPr>
          <w:rFonts w:hint="eastAsia" w:ascii="仿宋_GB2312" w:hAnsi="仿宋_GB2312" w:eastAsia="仿宋_GB2312" w:cs="仿宋_GB2312"/>
          <w:sz w:val="32"/>
          <w:szCs w:val="32"/>
          <w:lang w:eastAsia="zh-CN"/>
        </w:rPr>
        <w:t>强化行业执法监管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加大</w:t>
      </w:r>
      <w:r>
        <w:rPr>
          <w:rFonts w:hint="eastAsia" w:ascii="仿宋_GB2312" w:hAnsi="仿宋_GB2312" w:eastAsia="仿宋_GB2312" w:cs="仿宋_GB2312"/>
          <w:sz w:val="32"/>
          <w:szCs w:val="32"/>
        </w:rPr>
        <w:t>交通运输安全监管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从紧从严压实交通运输企业主体责任，持续深入开展交通运输安全生产专项整治三年行动，建立问题隐患和制度措施“两个清单”，进一步做好各类交通突发事故应急抢险、节假日及汛期值守，</w:t>
      </w:r>
      <w:r>
        <w:rPr>
          <w:rFonts w:hint="eastAsia" w:ascii="仿宋_GB2312" w:hAnsi="仿宋_GB2312" w:eastAsia="仿宋_GB2312" w:cs="仿宋_GB2312"/>
          <w:sz w:val="32"/>
          <w:szCs w:val="32"/>
          <w:lang w:eastAsia="zh-CN"/>
        </w:rPr>
        <w:t>深入推进平安交通建设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做好常态化疫情防控工作，抓实抓细常态化疫情防控，建立健全常态化督查机制，及时堵塞可能出现的各种漏洞。</w:t>
      </w:r>
    </w:p>
    <w:p>
      <w:pPr>
        <w:pStyle w:val="11"/>
        <w:keepNext w:val="0"/>
        <w:keepLines w:val="0"/>
        <w:widowControl w:val="0"/>
        <w:shd w:val="clear" w:color="auto" w:fill="auto"/>
        <w:bidi w:val="0"/>
        <w:spacing w:before="0" w:after="40" w:line="662" w:lineRule="exact"/>
        <w:ind w:left="0" w:leftChars="0" w:right="0" w:firstLine="0" w:firstLineChars="0"/>
        <w:jc w:val="left"/>
      </w:pPr>
      <w:r>
        <w:rPr>
          <w:b/>
          <w:bCs/>
          <w:color w:val="000000"/>
          <w:spacing w:val="0"/>
          <w:w w:val="100"/>
          <w:position w:val="0"/>
        </w:rPr>
        <w:t>二、部门预算单位构成</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ind w:left="0" w:right="0" w:firstLine="600" w:firstLineChars="200"/>
        <w:jc w:val="left"/>
        <w:textAlignment w:val="auto"/>
      </w:pPr>
      <w:r>
        <w:rPr>
          <w:rFonts w:hint="eastAsia"/>
          <w:color w:val="000000"/>
          <w:spacing w:val="0"/>
          <w:w w:val="100"/>
          <w:position w:val="0"/>
          <w:lang w:eastAsia="zh-CN"/>
        </w:rPr>
        <w:t>夹江县交通运输局</w:t>
      </w:r>
      <w:r>
        <w:rPr>
          <w:color w:val="000000"/>
          <w:spacing w:val="0"/>
          <w:w w:val="100"/>
          <w:position w:val="0"/>
        </w:rPr>
        <w:t>下属二级预算单位共有5个，其中行政单位</w:t>
      </w:r>
      <w:r>
        <w:rPr>
          <w:rFonts w:hint="eastAsia"/>
          <w:color w:val="000000"/>
          <w:spacing w:val="0"/>
          <w:w w:val="100"/>
          <w:position w:val="0"/>
          <w:lang w:val="en-US" w:eastAsia="zh-CN"/>
        </w:rPr>
        <w:t>1</w:t>
      </w:r>
      <w:r>
        <w:rPr>
          <w:color w:val="000000"/>
          <w:spacing w:val="0"/>
          <w:w w:val="100"/>
          <w:position w:val="0"/>
        </w:rPr>
        <w:t>个，为</w:t>
      </w:r>
      <w:r>
        <w:rPr>
          <w:rFonts w:hint="eastAsia"/>
          <w:color w:val="000000"/>
          <w:spacing w:val="0"/>
          <w:w w:val="100"/>
          <w:position w:val="0"/>
          <w:lang w:eastAsia="zh-CN"/>
        </w:rPr>
        <w:t>夹江县交通运输局</w:t>
      </w:r>
      <w:r>
        <w:rPr>
          <w:color w:val="000000"/>
          <w:spacing w:val="0"/>
          <w:w w:val="100"/>
          <w:position w:val="0"/>
        </w:rPr>
        <w:t>；参照公务员法管理的事业单位</w:t>
      </w:r>
      <w:r>
        <w:rPr>
          <w:rFonts w:hint="eastAsia"/>
          <w:color w:val="000000"/>
          <w:spacing w:val="0"/>
          <w:w w:val="100"/>
          <w:position w:val="0"/>
          <w:lang w:val="en-US" w:eastAsia="zh-CN"/>
        </w:rPr>
        <w:t>3</w:t>
      </w:r>
      <w:r>
        <w:rPr>
          <w:color w:val="000000"/>
          <w:spacing w:val="0"/>
          <w:w w:val="100"/>
          <w:position w:val="0"/>
        </w:rPr>
        <w:t>个，为</w:t>
      </w:r>
      <w:r>
        <w:rPr>
          <w:rFonts w:hint="eastAsia"/>
          <w:color w:val="000000"/>
          <w:spacing w:val="0"/>
          <w:w w:val="100"/>
          <w:position w:val="0"/>
          <w:lang w:eastAsia="zh-CN"/>
        </w:rPr>
        <w:t>夹江县港航中心、夹江县道路运输服务中心、夹江县交通运输综合行政执法大队</w:t>
      </w:r>
      <w:r>
        <w:rPr>
          <w:color w:val="000000"/>
          <w:spacing w:val="0"/>
          <w:w w:val="100"/>
          <w:position w:val="0"/>
        </w:rPr>
        <w:t>；其他事业单位</w:t>
      </w:r>
      <w:r>
        <w:rPr>
          <w:rFonts w:hint="eastAsia"/>
          <w:color w:val="000000"/>
          <w:spacing w:val="0"/>
          <w:w w:val="100"/>
          <w:position w:val="0"/>
          <w:lang w:val="en-US" w:eastAsia="zh-CN"/>
        </w:rPr>
        <w:t>1</w:t>
      </w:r>
      <w:r>
        <w:rPr>
          <w:color w:val="000000"/>
          <w:spacing w:val="0"/>
          <w:w w:val="100"/>
          <w:position w:val="0"/>
        </w:rPr>
        <w:t>个，为</w:t>
      </w:r>
      <w:r>
        <w:rPr>
          <w:rFonts w:hint="eastAsia"/>
          <w:color w:val="000000"/>
          <w:spacing w:val="0"/>
          <w:w w:val="100"/>
          <w:position w:val="0"/>
          <w:lang w:eastAsia="zh-CN"/>
        </w:rPr>
        <w:t>夹江县道路建设服务中心</w:t>
      </w:r>
      <w:r>
        <w:rPr>
          <w:color w:val="000000"/>
          <w:spacing w:val="0"/>
          <w:w w:val="100"/>
          <w:position w:val="0"/>
        </w:rPr>
        <w:t>。主要包括：</w:t>
      </w:r>
    </w:p>
    <w:tbl>
      <w:tblPr>
        <w:tblStyle w:val="4"/>
        <w:tblW w:w="0" w:type="auto"/>
        <w:jc w:val="center"/>
        <w:tblLayout w:type="fixed"/>
        <w:tblCellMar>
          <w:top w:w="0" w:type="dxa"/>
          <w:left w:w="10" w:type="dxa"/>
          <w:bottom w:w="0" w:type="dxa"/>
          <w:right w:w="10" w:type="dxa"/>
        </w:tblCellMar>
      </w:tblPr>
      <w:tblGrid>
        <w:gridCol w:w="2011"/>
        <w:gridCol w:w="6288"/>
      </w:tblGrid>
      <w:tr>
        <w:tblPrEx>
          <w:tblCellMar>
            <w:top w:w="0" w:type="dxa"/>
            <w:left w:w="10" w:type="dxa"/>
            <w:bottom w:w="0" w:type="dxa"/>
            <w:right w:w="10" w:type="dxa"/>
          </w:tblCellMar>
        </w:tblPrEx>
        <w:trPr>
          <w:trHeight w:val="696" w:hRule="exac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pPr>
            <w:r>
              <w:rPr>
                <w:color w:val="000000"/>
                <w:spacing w:val="0"/>
                <w:w w:val="100"/>
                <w:position w:val="0"/>
              </w:rPr>
              <w:t>序号</w:t>
            </w:r>
          </w:p>
        </w:tc>
        <w:tc>
          <w:tcPr>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pPr>
            <w:r>
              <w:rPr>
                <w:color w:val="000000"/>
                <w:spacing w:val="0"/>
                <w:w w:val="100"/>
                <w:position w:val="0"/>
              </w:rPr>
              <w:t>预算单位名称</w:t>
            </w:r>
          </w:p>
        </w:tc>
      </w:tr>
      <w:tr>
        <w:tblPrEx>
          <w:tblCellMar>
            <w:top w:w="0" w:type="dxa"/>
            <w:left w:w="10" w:type="dxa"/>
            <w:bottom w:w="0" w:type="dxa"/>
            <w:right w:w="10" w:type="dxa"/>
          </w:tblCellMar>
        </w:tblPrEx>
        <w:trPr>
          <w:trHeight w:val="672" w:hRule="exac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rPr>
              <w:t>1</w:t>
            </w:r>
          </w:p>
        </w:tc>
        <w:tc>
          <w:tcPr>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eastAsia" w:eastAsia="宋体"/>
                <w:lang w:eastAsia="zh-CN"/>
              </w:rPr>
            </w:pPr>
            <w:r>
              <w:rPr>
                <w:rFonts w:hint="eastAsia"/>
                <w:lang w:eastAsia="zh-CN"/>
              </w:rPr>
              <w:t>夹江县交通运输局</w:t>
            </w:r>
          </w:p>
        </w:tc>
      </w:tr>
      <w:tr>
        <w:tblPrEx>
          <w:tblCellMar>
            <w:top w:w="0" w:type="dxa"/>
            <w:left w:w="10" w:type="dxa"/>
            <w:bottom w:w="0" w:type="dxa"/>
            <w:right w:w="10" w:type="dxa"/>
          </w:tblCellMar>
        </w:tblPrEx>
        <w:trPr>
          <w:trHeight w:val="691" w:hRule="exac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2</w:t>
            </w:r>
          </w:p>
        </w:tc>
        <w:tc>
          <w:tcPr>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eastAsia" w:eastAsia="宋体"/>
                <w:lang w:eastAsia="zh-CN"/>
              </w:rPr>
            </w:pPr>
            <w:r>
              <w:rPr>
                <w:rFonts w:hint="eastAsia"/>
                <w:lang w:eastAsia="zh-CN"/>
              </w:rPr>
              <w:t>夹江县港航中心</w:t>
            </w:r>
          </w:p>
        </w:tc>
      </w:tr>
      <w:tr>
        <w:tblPrEx>
          <w:tblCellMar>
            <w:top w:w="0" w:type="dxa"/>
            <w:left w:w="10" w:type="dxa"/>
            <w:bottom w:w="0" w:type="dxa"/>
            <w:right w:w="10" w:type="dxa"/>
          </w:tblCellMar>
        </w:tblPrEx>
        <w:trPr>
          <w:trHeight w:val="691" w:hRule="exac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3</w:t>
            </w:r>
          </w:p>
        </w:tc>
        <w:tc>
          <w:tcPr>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eastAsia" w:eastAsia="宋体"/>
                <w:lang w:eastAsia="zh-CN"/>
              </w:rPr>
            </w:pPr>
            <w:r>
              <w:rPr>
                <w:rFonts w:hint="eastAsia"/>
                <w:lang w:eastAsia="zh-CN"/>
              </w:rPr>
              <w:t>夹江县道路运输服务中心</w:t>
            </w:r>
          </w:p>
        </w:tc>
      </w:tr>
      <w:tr>
        <w:tblPrEx>
          <w:tblCellMar>
            <w:top w:w="0" w:type="dxa"/>
            <w:left w:w="10" w:type="dxa"/>
            <w:bottom w:w="0" w:type="dxa"/>
            <w:right w:w="10" w:type="dxa"/>
          </w:tblCellMar>
        </w:tblPrEx>
        <w:trPr>
          <w:trHeight w:val="672" w:hRule="exac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rPr>
              <w:t>4</w:t>
            </w:r>
          </w:p>
        </w:tc>
        <w:tc>
          <w:tcPr>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eastAsia" w:eastAsia="宋体"/>
                <w:lang w:eastAsia="zh-CN"/>
              </w:rPr>
            </w:pPr>
            <w:r>
              <w:rPr>
                <w:rFonts w:hint="eastAsia"/>
                <w:lang w:eastAsia="zh-CN"/>
              </w:rPr>
              <w:t>夹江县交通运输综合行政执法大队</w:t>
            </w:r>
          </w:p>
        </w:tc>
      </w:tr>
      <w:tr>
        <w:tblPrEx>
          <w:tblCellMar>
            <w:top w:w="0" w:type="dxa"/>
            <w:left w:w="10" w:type="dxa"/>
            <w:bottom w:w="0" w:type="dxa"/>
            <w:right w:w="10" w:type="dxa"/>
          </w:tblCellMar>
        </w:tblPrEx>
        <w:trPr>
          <w:trHeight w:val="701" w:hRule="exact"/>
          <w:jc w:val="center"/>
        </w:trPr>
        <w:tc>
          <w:tcPr>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rPr>
              <w:t>5</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eastAsia" w:eastAsia="宋体"/>
                <w:lang w:eastAsia="zh-CN"/>
              </w:rPr>
            </w:pPr>
            <w:r>
              <w:rPr>
                <w:rFonts w:hint="eastAsia"/>
                <w:lang w:eastAsia="zh-CN"/>
              </w:rPr>
              <w:t>夹江县道路建设服务中心</w:t>
            </w:r>
          </w:p>
        </w:tc>
      </w:tr>
    </w:tbl>
    <w:p>
      <w:pPr>
        <w:sectPr>
          <w:footerReference r:id="rId14" w:type="default"/>
          <w:footerReference r:id="rId15" w:type="even"/>
          <w:footnotePr>
            <w:numFmt w:val="decimal"/>
          </w:footnotePr>
          <w:pgSz w:w="11900" w:h="16840"/>
          <w:pgMar w:top="1934" w:right="1396" w:bottom="1968" w:left="1591" w:header="1506" w:footer="3" w:gutter="0"/>
          <w:cols w:space="720" w:num="1"/>
          <w:rtlGutter w:val="0"/>
          <w:docGrid w:linePitch="360" w:charSpace="0"/>
        </w:sectPr>
      </w:pPr>
    </w:p>
    <w:p>
      <w:pPr>
        <w:pStyle w:val="13"/>
        <w:keepNext w:val="0"/>
        <w:keepLines w:val="0"/>
        <w:widowControl w:val="0"/>
        <w:shd w:val="clear" w:color="auto" w:fill="auto"/>
        <w:bidi w:val="0"/>
        <w:spacing w:before="6540" w:after="0" w:line="240" w:lineRule="auto"/>
        <w:ind w:left="0" w:right="0" w:firstLine="0"/>
        <w:jc w:val="center"/>
        <w:rPr>
          <w:rFonts w:hint="eastAsia" w:eastAsia="宋体"/>
          <w:sz w:val="52"/>
          <w:szCs w:val="52"/>
          <w:lang w:eastAsia="zh-CN"/>
        </w:rPr>
      </w:pPr>
      <w:r>
        <w:rPr>
          <w:b/>
          <w:bCs/>
          <w:color w:val="000000"/>
          <w:spacing w:val="0"/>
          <w:w w:val="100"/>
          <w:position w:val="0"/>
          <w:sz w:val="52"/>
          <w:szCs w:val="52"/>
        </w:rPr>
        <w:t>第二部分</w:t>
      </w:r>
      <w:r>
        <w:rPr>
          <w:rFonts w:hint="eastAsia"/>
          <w:b/>
          <w:bCs/>
          <w:color w:val="000000"/>
          <w:spacing w:val="0"/>
          <w:w w:val="100"/>
          <w:position w:val="0"/>
          <w:sz w:val="52"/>
          <w:szCs w:val="52"/>
          <w:lang w:eastAsia="zh-CN"/>
        </w:rPr>
        <w:t>夹江县交通运输局</w:t>
      </w:r>
    </w:p>
    <w:p>
      <w:pPr>
        <w:pStyle w:val="13"/>
        <w:keepNext w:val="0"/>
        <w:keepLines w:val="0"/>
        <w:widowControl w:val="0"/>
        <w:shd w:val="clear" w:color="auto" w:fill="auto"/>
        <w:bidi w:val="0"/>
        <w:spacing w:before="0" w:after="0" w:line="240" w:lineRule="auto"/>
        <w:ind w:left="0" w:right="0" w:firstLine="0"/>
        <w:jc w:val="center"/>
        <w:rPr>
          <w:b/>
          <w:bCs/>
          <w:color w:val="000000"/>
          <w:spacing w:val="0"/>
          <w:w w:val="100"/>
          <w:position w:val="0"/>
          <w:sz w:val="52"/>
          <w:szCs w:val="52"/>
        </w:rPr>
      </w:pPr>
      <w:r>
        <w:rPr>
          <w:b/>
          <w:bCs/>
          <w:color w:val="000000"/>
          <w:spacing w:val="0"/>
          <w:w w:val="100"/>
          <w:position w:val="0"/>
          <w:sz w:val="52"/>
          <w:szCs w:val="52"/>
        </w:rPr>
        <w:t>2022年部门预算表</w:t>
      </w:r>
    </w:p>
    <w:p>
      <w:pPr>
        <w:rPr>
          <w:b/>
          <w:bCs/>
          <w:color w:val="000000"/>
          <w:spacing w:val="0"/>
          <w:w w:val="100"/>
          <w:position w:val="0"/>
          <w:sz w:val="52"/>
          <w:szCs w:val="52"/>
        </w:rPr>
      </w:pPr>
      <w:r>
        <w:rPr>
          <w:b/>
          <w:bCs/>
          <w:color w:val="000000"/>
          <w:spacing w:val="0"/>
          <w:w w:val="100"/>
          <w:position w:val="0"/>
          <w:sz w:val="52"/>
          <w:szCs w:val="52"/>
        </w:rPr>
        <w:br w:type="page"/>
      </w:r>
    </w:p>
    <w:tbl>
      <w:tblPr>
        <w:tblStyle w:val="30"/>
        <w:tblW w:w="8340" w:type="dxa"/>
        <w:tblInd w:w="2" w:type="dxa"/>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
      <w:tblGrid>
        <w:gridCol w:w="2979"/>
        <w:gridCol w:w="1190"/>
        <w:gridCol w:w="2976"/>
        <w:gridCol w:w="1195"/>
      </w:tblGrid>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1272" w:hRule="atLeast"/>
        </w:trPr>
        <w:tc>
          <w:tcPr>
            <w:tcW w:w="2979" w:type="dxa"/>
            <w:tcBorders>
              <w:top w:val="single" w:color="FFFFFF" w:sz="2" w:space="0"/>
              <w:left w:val="single" w:color="FFFFFF" w:sz="2" w:space="0"/>
              <w:right w:val="nil"/>
            </w:tcBorders>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spacing w:before="72" w:line="222" w:lineRule="auto"/>
              <w:ind w:left="25"/>
              <w:rPr>
                <w:rFonts w:hint="eastAsia" w:ascii="宋体" w:hAnsi="宋体" w:eastAsia="宋体" w:cs="宋体"/>
                <w:sz w:val="22"/>
                <w:szCs w:val="22"/>
                <w:lang w:eastAsia="zh-CN"/>
              </w:rPr>
            </w:pPr>
            <w:r>
              <w:rPr>
                <w:rFonts w:ascii="宋体" w:hAnsi="宋体" w:eastAsia="宋体" w:cs="宋体"/>
                <w:spacing w:val="-1"/>
                <w:sz w:val="22"/>
                <w:szCs w:val="22"/>
              </w:rPr>
              <w:t>单位：</w:t>
            </w:r>
            <w:r>
              <w:rPr>
                <w:rFonts w:hint="eastAsia" w:ascii="宋体" w:hAnsi="宋体" w:eastAsia="宋体" w:cs="宋体"/>
                <w:spacing w:val="-1"/>
                <w:sz w:val="22"/>
                <w:szCs w:val="22"/>
                <w:lang w:eastAsia="zh-CN"/>
              </w:rPr>
              <w:t>夹江县交通运输局</w:t>
            </w:r>
          </w:p>
        </w:tc>
        <w:tc>
          <w:tcPr>
            <w:tcW w:w="5361" w:type="dxa"/>
            <w:gridSpan w:val="3"/>
            <w:tcBorders>
              <w:top w:val="single" w:color="FFFFFF" w:sz="2" w:space="0"/>
              <w:left w:val="nil"/>
              <w:right w:val="single" w:color="FFFFFF" w:sz="2" w:space="0"/>
            </w:tcBorders>
            <w:vAlign w:val="top"/>
          </w:tcPr>
          <w:p>
            <w:pPr>
              <w:spacing w:before="64" w:line="222" w:lineRule="auto"/>
              <w:jc w:val="right"/>
              <w:rPr>
                <w:rFonts w:ascii="宋体" w:hAnsi="宋体" w:eastAsia="宋体" w:cs="宋体"/>
                <w:sz w:val="22"/>
                <w:szCs w:val="22"/>
              </w:rPr>
            </w:pPr>
            <w:r>
              <w:rPr>
                <w:rFonts w:ascii="宋体" w:hAnsi="宋体" w:eastAsia="宋体" w:cs="宋体"/>
                <w:spacing w:val="-9"/>
                <w:sz w:val="22"/>
                <w:szCs w:val="22"/>
              </w:rPr>
              <w:t>公开表 1</w:t>
            </w:r>
          </w:p>
          <w:p>
            <w:pPr>
              <w:spacing w:before="155" w:line="228" w:lineRule="auto"/>
              <w:ind w:left="248"/>
              <w:rPr>
                <w:rFonts w:ascii="黑体" w:hAnsi="黑体" w:eastAsia="黑体" w:cs="黑体"/>
                <w:sz w:val="31"/>
                <w:szCs w:val="31"/>
              </w:rPr>
            </w:pPr>
            <w:r>
              <w:rPr>
                <w:rFonts w:ascii="黑体" w:hAnsi="黑体" w:eastAsia="黑体" w:cs="黑体"/>
                <w:spacing w:val="8"/>
                <w:sz w:val="31"/>
                <w:szCs w:val="31"/>
                <w14:textOutline w14:w="5793" w14:cap="sq" w14:cmpd="sng">
                  <w14:solidFill>
                    <w14:srgbClr w14:val="000000"/>
                  </w14:solidFill>
                  <w14:prstDash w14:val="solid"/>
                  <w14:bevel/>
                </w14:textOutline>
              </w:rPr>
              <w:t>单</w:t>
            </w:r>
            <w:r>
              <w:rPr>
                <w:rFonts w:ascii="黑体" w:hAnsi="黑体" w:eastAsia="黑体" w:cs="黑体"/>
                <w:spacing w:val="7"/>
                <w:sz w:val="31"/>
                <w:szCs w:val="31"/>
                <w14:textOutline w14:w="5793" w14:cap="sq" w14:cmpd="sng">
                  <w14:solidFill>
                    <w14:srgbClr w14:val="000000"/>
                  </w14:solidFill>
                  <w14:prstDash w14:val="solid"/>
                  <w14:bevel/>
                </w14:textOutline>
              </w:rPr>
              <w:t>位收支总表</w:t>
            </w:r>
          </w:p>
          <w:p>
            <w:pPr>
              <w:spacing w:before="133" w:line="221" w:lineRule="auto"/>
              <w:ind w:left="3538"/>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07" w:hRule="atLeast"/>
        </w:trPr>
        <w:tc>
          <w:tcPr>
            <w:tcW w:w="4169" w:type="dxa"/>
            <w:gridSpan w:val="2"/>
            <w:shd w:val="clear" w:color="auto" w:fill="EFF2F7"/>
            <w:vAlign w:val="top"/>
          </w:tcPr>
          <w:p>
            <w:pPr>
              <w:spacing w:before="149" w:line="221" w:lineRule="auto"/>
              <w:ind w:left="1658"/>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收</w:t>
            </w:r>
            <w:r>
              <w:rPr>
                <w:rFonts w:ascii="宋体" w:hAnsi="宋体" w:eastAsia="宋体" w:cs="宋体"/>
                <w:spacing w:val="-1"/>
                <w:sz w:val="22"/>
                <w:szCs w:val="22"/>
              </w:rPr>
              <w:t xml:space="preserve">    </w:t>
            </w:r>
            <w:r>
              <w:rPr>
                <w:rFonts w:ascii="宋体" w:hAnsi="宋体" w:eastAsia="宋体" w:cs="宋体"/>
                <w:spacing w:val="-1"/>
                <w:sz w:val="22"/>
                <w:szCs w:val="22"/>
                <w14:textOutline w14:w="4013" w14:cap="sq" w14:cmpd="sng">
                  <w14:solidFill>
                    <w14:srgbClr w14:val="000000"/>
                  </w14:solidFill>
                  <w14:prstDash w14:val="solid"/>
                  <w14:bevel/>
                </w14:textOutline>
              </w:rPr>
              <w:t>入</w:t>
            </w:r>
          </w:p>
        </w:tc>
        <w:tc>
          <w:tcPr>
            <w:tcW w:w="4171" w:type="dxa"/>
            <w:gridSpan w:val="2"/>
            <w:shd w:val="clear" w:color="auto" w:fill="EFF2F7"/>
            <w:vAlign w:val="top"/>
          </w:tcPr>
          <w:p>
            <w:pPr>
              <w:spacing w:before="148" w:line="222" w:lineRule="auto"/>
              <w:ind w:left="1651"/>
              <w:rPr>
                <w:rFonts w:ascii="宋体" w:hAnsi="宋体" w:eastAsia="宋体" w:cs="宋体"/>
                <w:sz w:val="22"/>
                <w:szCs w:val="22"/>
              </w:rPr>
            </w:pPr>
            <w:r>
              <w:rPr>
                <w:rFonts w:ascii="宋体" w:hAnsi="宋体" w:eastAsia="宋体" w:cs="宋体"/>
                <w:spacing w:val="5"/>
                <w:sz w:val="22"/>
                <w:szCs w:val="22"/>
                <w14:textOutline w14:w="4013" w14:cap="sq" w14:cmpd="sng">
                  <w14:solidFill>
                    <w14:srgbClr w14:val="000000"/>
                  </w14:solidFill>
                  <w14:prstDash w14:val="solid"/>
                  <w14:bevel/>
                </w14:textOutline>
              </w:rPr>
              <w:t>支</w:t>
            </w:r>
            <w:r>
              <w:rPr>
                <w:rFonts w:ascii="宋体" w:hAnsi="宋体" w:eastAsia="宋体" w:cs="宋体"/>
                <w:spacing w:val="3"/>
                <w:sz w:val="22"/>
                <w:szCs w:val="22"/>
              </w:rPr>
              <w:t xml:space="preserve">    </w:t>
            </w:r>
            <w:r>
              <w:rPr>
                <w:rFonts w:ascii="宋体" w:hAnsi="宋体" w:eastAsia="宋体" w:cs="宋体"/>
                <w:spacing w:val="3"/>
                <w:sz w:val="22"/>
                <w:szCs w:val="22"/>
                <w14:textOutline w14:w="4013" w14:cap="sq" w14:cmpd="sng">
                  <w14:solidFill>
                    <w14:srgbClr w14:val="000000"/>
                  </w14:solidFill>
                  <w14:prstDash w14:val="solid"/>
                  <w14:bevel/>
                </w14:textOutline>
              </w:rPr>
              <w:t>出</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07" w:hRule="atLeast"/>
        </w:trPr>
        <w:tc>
          <w:tcPr>
            <w:tcW w:w="2979" w:type="dxa"/>
            <w:shd w:val="clear" w:color="auto" w:fill="EFF2F7"/>
            <w:vAlign w:val="top"/>
          </w:tcPr>
          <w:p>
            <w:pPr>
              <w:spacing w:before="150" w:line="222" w:lineRule="auto"/>
              <w:ind w:left="1058"/>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项</w:t>
            </w:r>
            <w:r>
              <w:rPr>
                <w:rFonts w:ascii="宋体" w:hAnsi="宋体" w:eastAsia="宋体" w:cs="宋体"/>
                <w:spacing w:val="7"/>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目</w:t>
            </w:r>
          </w:p>
        </w:tc>
        <w:tc>
          <w:tcPr>
            <w:tcW w:w="1190" w:type="dxa"/>
            <w:shd w:val="clear" w:color="auto" w:fill="EFF2F7"/>
            <w:vAlign w:val="top"/>
          </w:tcPr>
          <w:p>
            <w:pPr>
              <w:spacing w:before="150" w:line="221" w:lineRule="auto"/>
              <w:ind w:left="271"/>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预</w:t>
            </w:r>
            <w:r>
              <w:rPr>
                <w:rFonts w:ascii="宋体" w:hAnsi="宋体" w:eastAsia="宋体" w:cs="宋体"/>
                <w:spacing w:val="-2"/>
                <w:sz w:val="22"/>
                <w:szCs w:val="22"/>
                <w14:textOutline w14:w="4013" w14:cap="sq" w14:cmpd="sng">
                  <w14:solidFill>
                    <w14:srgbClr w14:val="000000"/>
                  </w14:solidFill>
                  <w14:prstDash w14:val="solid"/>
                  <w14:bevel/>
                </w14:textOutline>
              </w:rPr>
              <w:t>算数</w:t>
            </w:r>
          </w:p>
        </w:tc>
        <w:tc>
          <w:tcPr>
            <w:tcW w:w="2976" w:type="dxa"/>
            <w:shd w:val="clear" w:color="auto" w:fill="EFF2F7"/>
            <w:vAlign w:val="top"/>
          </w:tcPr>
          <w:p>
            <w:pPr>
              <w:spacing w:before="150" w:line="222" w:lineRule="auto"/>
              <w:ind w:left="1058"/>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项</w:t>
            </w:r>
            <w:r>
              <w:rPr>
                <w:rFonts w:ascii="宋体" w:hAnsi="宋体" w:eastAsia="宋体" w:cs="宋体"/>
                <w:spacing w:val="7"/>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目</w:t>
            </w:r>
          </w:p>
        </w:tc>
        <w:tc>
          <w:tcPr>
            <w:tcW w:w="1195" w:type="dxa"/>
            <w:shd w:val="clear" w:color="auto" w:fill="EFF2F7"/>
            <w:vAlign w:val="top"/>
          </w:tcPr>
          <w:p>
            <w:pPr>
              <w:spacing w:before="150" w:line="221" w:lineRule="auto"/>
              <w:ind w:left="274"/>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预</w:t>
            </w:r>
            <w:r>
              <w:rPr>
                <w:rFonts w:ascii="宋体" w:hAnsi="宋体" w:eastAsia="宋体" w:cs="宋体"/>
                <w:spacing w:val="-2"/>
                <w:sz w:val="22"/>
                <w:szCs w:val="22"/>
                <w14:textOutline w14:w="4013" w14:cap="sq" w14:cmpd="sng">
                  <w14:solidFill>
                    <w14:srgbClr w14:val="000000"/>
                  </w14:solidFill>
                  <w14:prstDash w14:val="solid"/>
                  <w14:bevel/>
                </w14:textOutline>
              </w:rPr>
              <w:t>算数</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trPr>
        <w:tc>
          <w:tcPr>
            <w:tcW w:w="2979" w:type="dxa"/>
            <w:vAlign w:val="top"/>
          </w:tcPr>
          <w:p>
            <w:pPr>
              <w:spacing w:before="135" w:line="340" w:lineRule="exact"/>
              <w:ind w:left="26"/>
              <w:rPr>
                <w:rFonts w:ascii="宋体" w:hAnsi="宋体" w:eastAsia="宋体" w:cs="宋体"/>
                <w:sz w:val="22"/>
                <w:szCs w:val="22"/>
              </w:rPr>
            </w:pPr>
            <w:r>
              <w:rPr>
                <w:rFonts w:ascii="宋体" w:hAnsi="宋体" w:eastAsia="宋体" w:cs="宋体"/>
                <w:spacing w:val="-1"/>
                <w:position w:val="1"/>
                <w:sz w:val="22"/>
                <w:szCs w:val="22"/>
              </w:rPr>
              <w:t>一、一般公共预算拨款收</w:t>
            </w:r>
            <w:r>
              <w:rPr>
                <w:rFonts w:ascii="宋体" w:hAnsi="宋体" w:eastAsia="宋体" w:cs="宋体"/>
                <w:position w:val="1"/>
                <w:sz w:val="22"/>
                <w:szCs w:val="22"/>
              </w:rPr>
              <w:t>入</w:t>
            </w:r>
          </w:p>
        </w:tc>
        <w:tc>
          <w:tcPr>
            <w:tcW w:w="119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2,377.56</w:t>
            </w:r>
          </w:p>
        </w:tc>
        <w:tc>
          <w:tcPr>
            <w:tcW w:w="2976" w:type="dxa"/>
            <w:vAlign w:val="top"/>
          </w:tcPr>
          <w:p>
            <w:pPr>
              <w:spacing w:before="135" w:line="340" w:lineRule="exact"/>
              <w:ind w:left="24"/>
              <w:rPr>
                <w:rFonts w:ascii="宋体" w:hAnsi="宋体" w:eastAsia="宋体" w:cs="宋体"/>
                <w:sz w:val="22"/>
                <w:szCs w:val="22"/>
              </w:rPr>
            </w:pPr>
            <w:r>
              <w:rPr>
                <w:rFonts w:ascii="宋体" w:hAnsi="宋体" w:eastAsia="宋体" w:cs="宋体"/>
                <w:spacing w:val="-2"/>
                <w:position w:val="1"/>
                <w:sz w:val="22"/>
                <w:szCs w:val="22"/>
              </w:rPr>
              <w:t>一、</w:t>
            </w:r>
            <w:r>
              <w:rPr>
                <w:rFonts w:ascii="宋体" w:hAnsi="宋体" w:eastAsia="宋体" w:cs="宋体"/>
                <w:spacing w:val="-1"/>
                <w:position w:val="1"/>
                <w:sz w:val="22"/>
                <w:szCs w:val="22"/>
              </w:rPr>
              <w:t>一般公共服务支出</w:t>
            </w:r>
          </w:p>
        </w:tc>
        <w:tc>
          <w:tcPr>
            <w:tcW w:w="1195" w:type="dxa"/>
            <w:vAlign w:val="top"/>
          </w:tcPr>
          <w:p>
            <w:pPr>
              <w:spacing w:before="170" w:line="207" w:lineRule="auto"/>
              <w:ind w:left="304"/>
              <w:rPr>
                <w:rFonts w:ascii="宋体" w:hAnsi="宋体" w:eastAsia="宋体" w:cs="宋体"/>
                <w:sz w:val="22"/>
                <w:szCs w:val="22"/>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trPr>
        <w:tc>
          <w:tcPr>
            <w:tcW w:w="2979" w:type="dxa"/>
            <w:vAlign w:val="top"/>
          </w:tcPr>
          <w:p>
            <w:pPr>
              <w:spacing w:before="136" w:line="293" w:lineRule="exact"/>
              <w:ind w:left="26"/>
              <w:rPr>
                <w:rFonts w:ascii="宋体" w:hAnsi="宋体" w:eastAsia="宋体" w:cs="宋体"/>
                <w:sz w:val="22"/>
                <w:szCs w:val="22"/>
              </w:rPr>
            </w:pPr>
            <w:r>
              <w:rPr>
                <w:rFonts w:ascii="宋体" w:hAnsi="宋体" w:eastAsia="宋体" w:cs="宋体"/>
                <w:spacing w:val="-1"/>
                <w:position w:val="1"/>
                <w:sz w:val="22"/>
                <w:szCs w:val="22"/>
              </w:rPr>
              <w:t>二、政府性基金预算拨款收</w:t>
            </w:r>
            <w:r>
              <w:rPr>
                <w:rFonts w:ascii="宋体" w:hAnsi="宋体" w:eastAsia="宋体" w:cs="宋体"/>
                <w:position w:val="1"/>
                <w:sz w:val="22"/>
                <w:szCs w:val="22"/>
              </w:rPr>
              <w:t>入</w:t>
            </w:r>
          </w:p>
        </w:tc>
        <w:tc>
          <w:tcPr>
            <w:tcW w:w="1190" w:type="dxa"/>
            <w:vAlign w:val="top"/>
          </w:tcPr>
          <w:p>
            <w:pPr>
              <w:rPr>
                <w:rFonts w:ascii="Arial"/>
                <w:sz w:val="21"/>
              </w:rPr>
            </w:pPr>
          </w:p>
        </w:tc>
        <w:tc>
          <w:tcPr>
            <w:tcW w:w="2976" w:type="dxa"/>
            <w:vAlign w:val="top"/>
          </w:tcPr>
          <w:p>
            <w:pPr>
              <w:spacing w:before="136" w:line="293" w:lineRule="exact"/>
              <w:ind w:left="24"/>
              <w:rPr>
                <w:rFonts w:ascii="宋体" w:hAnsi="宋体" w:eastAsia="宋体" w:cs="宋体"/>
                <w:sz w:val="22"/>
                <w:szCs w:val="22"/>
              </w:rPr>
            </w:pPr>
            <w:r>
              <w:rPr>
                <w:rFonts w:ascii="宋体" w:hAnsi="宋体" w:eastAsia="宋体" w:cs="宋体"/>
                <w:spacing w:val="-2"/>
                <w:position w:val="1"/>
                <w:sz w:val="22"/>
                <w:szCs w:val="22"/>
              </w:rPr>
              <w:t>二、教育</w:t>
            </w:r>
            <w:r>
              <w:rPr>
                <w:rFonts w:ascii="宋体" w:hAnsi="宋体" w:eastAsia="宋体" w:cs="宋体"/>
                <w:spacing w:val="-1"/>
                <w:position w:val="1"/>
                <w:sz w:val="22"/>
                <w:szCs w:val="22"/>
              </w:rPr>
              <w:t>支出</w:t>
            </w:r>
          </w:p>
        </w:tc>
        <w:tc>
          <w:tcPr>
            <w:tcW w:w="1195"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23.05</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643" w:hRule="atLeast"/>
        </w:trPr>
        <w:tc>
          <w:tcPr>
            <w:tcW w:w="2979" w:type="dxa"/>
            <w:vAlign w:val="top"/>
          </w:tcPr>
          <w:p>
            <w:pPr>
              <w:spacing w:before="63" w:line="243" w:lineRule="auto"/>
              <w:ind w:left="22" w:right="98"/>
              <w:rPr>
                <w:rFonts w:ascii="宋体" w:hAnsi="宋体" w:eastAsia="宋体" w:cs="宋体"/>
                <w:sz w:val="22"/>
                <w:szCs w:val="22"/>
              </w:rPr>
            </w:pPr>
            <w:r>
              <w:rPr>
                <w:rFonts w:ascii="宋体" w:hAnsi="宋体" w:eastAsia="宋体" w:cs="宋体"/>
                <w:spacing w:val="-1"/>
                <w:sz w:val="22"/>
                <w:szCs w:val="22"/>
              </w:rPr>
              <w:t>三、国有资本经营</w:t>
            </w:r>
            <w:r>
              <w:rPr>
                <w:rFonts w:ascii="宋体" w:hAnsi="宋体" w:eastAsia="宋体" w:cs="宋体"/>
                <w:sz w:val="22"/>
                <w:szCs w:val="22"/>
              </w:rPr>
              <w:t>预算拨款收 入</w:t>
            </w:r>
          </w:p>
        </w:tc>
        <w:tc>
          <w:tcPr>
            <w:tcW w:w="1190" w:type="dxa"/>
            <w:vAlign w:val="top"/>
          </w:tcPr>
          <w:p>
            <w:pPr>
              <w:rPr>
                <w:rFonts w:ascii="Arial"/>
                <w:sz w:val="21"/>
              </w:rPr>
            </w:pPr>
          </w:p>
        </w:tc>
        <w:tc>
          <w:tcPr>
            <w:tcW w:w="2976" w:type="dxa"/>
            <w:vAlign w:val="top"/>
          </w:tcPr>
          <w:p>
            <w:pPr>
              <w:spacing w:before="220" w:line="238" w:lineRule="auto"/>
              <w:ind w:left="20"/>
              <w:rPr>
                <w:rFonts w:ascii="宋体" w:hAnsi="宋体" w:eastAsia="宋体" w:cs="宋体"/>
                <w:sz w:val="22"/>
                <w:szCs w:val="22"/>
              </w:rPr>
            </w:pPr>
            <w:r>
              <w:rPr>
                <w:rFonts w:ascii="宋体" w:hAnsi="宋体" w:eastAsia="宋体" w:cs="宋体"/>
                <w:spacing w:val="-1"/>
                <w:sz w:val="22"/>
                <w:szCs w:val="22"/>
              </w:rPr>
              <w:t>三、社会保障和</w:t>
            </w:r>
            <w:r>
              <w:rPr>
                <w:rFonts w:ascii="宋体" w:hAnsi="宋体" w:eastAsia="宋体" w:cs="宋体"/>
                <w:sz w:val="22"/>
                <w:szCs w:val="22"/>
              </w:rPr>
              <w:t>就业支出</w:t>
            </w:r>
          </w:p>
        </w:tc>
        <w:tc>
          <w:tcPr>
            <w:tcW w:w="1195"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167.69</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trPr>
        <w:tc>
          <w:tcPr>
            <w:tcW w:w="2979" w:type="dxa"/>
            <w:vAlign w:val="top"/>
          </w:tcPr>
          <w:p>
            <w:pPr>
              <w:spacing w:before="135" w:line="224" w:lineRule="auto"/>
              <w:ind w:left="44"/>
              <w:rPr>
                <w:rFonts w:ascii="宋体" w:hAnsi="宋体" w:eastAsia="宋体" w:cs="宋体"/>
                <w:sz w:val="22"/>
                <w:szCs w:val="22"/>
              </w:rPr>
            </w:pPr>
            <w:r>
              <w:rPr>
                <w:rFonts w:ascii="宋体" w:hAnsi="宋体" w:eastAsia="宋体" w:cs="宋体"/>
                <w:spacing w:val="-8"/>
                <w:sz w:val="22"/>
                <w:szCs w:val="22"/>
              </w:rPr>
              <w:t>四</w:t>
            </w:r>
            <w:r>
              <w:rPr>
                <w:rFonts w:ascii="宋体" w:hAnsi="宋体" w:eastAsia="宋体" w:cs="宋体"/>
                <w:spacing w:val="-4"/>
                <w:sz w:val="22"/>
                <w:szCs w:val="22"/>
              </w:rPr>
              <w:t>、事业收入</w:t>
            </w:r>
          </w:p>
        </w:tc>
        <w:tc>
          <w:tcPr>
            <w:tcW w:w="1190" w:type="dxa"/>
            <w:vAlign w:val="top"/>
          </w:tcPr>
          <w:p>
            <w:pPr>
              <w:rPr>
                <w:rFonts w:ascii="Arial"/>
                <w:sz w:val="21"/>
              </w:rPr>
            </w:pPr>
          </w:p>
        </w:tc>
        <w:tc>
          <w:tcPr>
            <w:tcW w:w="2976" w:type="dxa"/>
            <w:vAlign w:val="top"/>
          </w:tcPr>
          <w:p>
            <w:pPr>
              <w:spacing w:before="135" w:line="224" w:lineRule="auto"/>
              <w:ind w:left="41"/>
              <w:rPr>
                <w:rFonts w:ascii="宋体" w:hAnsi="宋体" w:eastAsia="宋体" w:cs="宋体"/>
                <w:sz w:val="22"/>
                <w:szCs w:val="22"/>
              </w:rPr>
            </w:pPr>
            <w:r>
              <w:rPr>
                <w:rFonts w:ascii="宋体" w:hAnsi="宋体" w:eastAsia="宋体" w:cs="宋体"/>
                <w:spacing w:val="-6"/>
                <w:sz w:val="22"/>
                <w:szCs w:val="22"/>
              </w:rPr>
              <w:t>四</w:t>
            </w:r>
            <w:r>
              <w:rPr>
                <w:rFonts w:ascii="宋体" w:hAnsi="宋体" w:eastAsia="宋体" w:cs="宋体"/>
                <w:spacing w:val="-4"/>
                <w:sz w:val="22"/>
                <w:szCs w:val="22"/>
              </w:rPr>
              <w:t>、</w:t>
            </w:r>
            <w:r>
              <w:rPr>
                <w:rFonts w:ascii="宋体" w:hAnsi="宋体" w:eastAsia="宋体" w:cs="宋体"/>
                <w:spacing w:val="-3"/>
                <w:sz w:val="22"/>
                <w:szCs w:val="22"/>
              </w:rPr>
              <w:t>卫生健康支出</w:t>
            </w:r>
          </w:p>
        </w:tc>
        <w:tc>
          <w:tcPr>
            <w:tcW w:w="1195"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71.33</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trPr>
        <w:tc>
          <w:tcPr>
            <w:tcW w:w="2979" w:type="dxa"/>
            <w:vAlign w:val="top"/>
          </w:tcPr>
          <w:p>
            <w:pPr>
              <w:spacing w:before="137" w:line="231" w:lineRule="auto"/>
              <w:ind w:left="26"/>
              <w:rPr>
                <w:rFonts w:ascii="宋体" w:hAnsi="宋体" w:eastAsia="宋体" w:cs="宋体"/>
                <w:sz w:val="22"/>
                <w:szCs w:val="22"/>
              </w:rPr>
            </w:pPr>
            <w:r>
              <w:rPr>
                <w:rFonts w:ascii="宋体" w:hAnsi="宋体" w:eastAsia="宋体" w:cs="宋体"/>
                <w:spacing w:val="-2"/>
                <w:sz w:val="22"/>
                <w:szCs w:val="22"/>
              </w:rPr>
              <w:t>五、</w:t>
            </w:r>
            <w:r>
              <w:rPr>
                <w:rFonts w:ascii="宋体" w:hAnsi="宋体" w:eastAsia="宋体" w:cs="宋体"/>
                <w:spacing w:val="-1"/>
                <w:sz w:val="22"/>
                <w:szCs w:val="22"/>
              </w:rPr>
              <w:t>事业单位经营收入</w:t>
            </w:r>
          </w:p>
        </w:tc>
        <w:tc>
          <w:tcPr>
            <w:tcW w:w="1190" w:type="dxa"/>
            <w:vAlign w:val="top"/>
          </w:tcPr>
          <w:p>
            <w:pPr>
              <w:rPr>
                <w:rFonts w:ascii="Arial"/>
                <w:sz w:val="21"/>
              </w:rPr>
            </w:pPr>
          </w:p>
        </w:tc>
        <w:tc>
          <w:tcPr>
            <w:tcW w:w="2976" w:type="dxa"/>
            <w:vAlign w:val="top"/>
          </w:tcPr>
          <w:p>
            <w:pPr>
              <w:spacing w:before="137" w:line="231" w:lineRule="auto"/>
              <w:ind w:left="24"/>
              <w:rPr>
                <w:rFonts w:ascii="宋体" w:hAnsi="宋体" w:eastAsia="宋体" w:cs="宋体"/>
                <w:sz w:val="22"/>
                <w:szCs w:val="22"/>
              </w:rPr>
            </w:pPr>
            <w:r>
              <w:rPr>
                <w:rFonts w:ascii="宋体" w:hAnsi="宋体" w:eastAsia="宋体" w:cs="宋体"/>
                <w:spacing w:val="-2"/>
                <w:sz w:val="22"/>
                <w:szCs w:val="22"/>
              </w:rPr>
              <w:t>五、住</w:t>
            </w:r>
            <w:r>
              <w:rPr>
                <w:rFonts w:ascii="宋体" w:hAnsi="宋体" w:eastAsia="宋体" w:cs="宋体"/>
                <w:spacing w:val="-1"/>
                <w:sz w:val="22"/>
                <w:szCs w:val="22"/>
              </w:rPr>
              <w:t>房保障支出</w:t>
            </w:r>
          </w:p>
        </w:tc>
        <w:tc>
          <w:tcPr>
            <w:tcW w:w="1195"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155.09</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trPr>
        <w:tc>
          <w:tcPr>
            <w:tcW w:w="2979" w:type="dxa"/>
            <w:vAlign w:val="top"/>
          </w:tcPr>
          <w:p>
            <w:pPr>
              <w:spacing w:before="136" w:line="225" w:lineRule="auto"/>
              <w:ind w:left="25"/>
              <w:rPr>
                <w:rFonts w:ascii="宋体" w:hAnsi="宋体" w:eastAsia="宋体" w:cs="宋体"/>
                <w:sz w:val="22"/>
                <w:szCs w:val="22"/>
              </w:rPr>
            </w:pPr>
            <w:r>
              <w:rPr>
                <w:rFonts w:ascii="宋体" w:hAnsi="宋体" w:eastAsia="宋体" w:cs="宋体"/>
                <w:spacing w:val="-2"/>
                <w:sz w:val="22"/>
                <w:szCs w:val="22"/>
              </w:rPr>
              <w:t>六、其</w:t>
            </w:r>
            <w:r>
              <w:rPr>
                <w:rFonts w:ascii="宋体" w:hAnsi="宋体" w:eastAsia="宋体" w:cs="宋体"/>
                <w:spacing w:val="-1"/>
                <w:sz w:val="22"/>
                <w:szCs w:val="22"/>
              </w:rPr>
              <w:t>他收入</w:t>
            </w:r>
          </w:p>
        </w:tc>
        <w:tc>
          <w:tcPr>
            <w:tcW w:w="1190" w:type="dxa"/>
            <w:vAlign w:val="top"/>
          </w:tcPr>
          <w:p>
            <w:pPr>
              <w:rPr>
                <w:rFonts w:ascii="Arial"/>
                <w:sz w:val="21"/>
              </w:rPr>
            </w:pPr>
          </w:p>
        </w:tc>
        <w:tc>
          <w:tcPr>
            <w:tcW w:w="2976" w:type="dxa"/>
            <w:vAlign w:val="top"/>
          </w:tcPr>
          <w:p>
            <w:pPr>
              <w:rPr>
                <w:rFonts w:ascii="Arial"/>
                <w:sz w:val="21"/>
              </w:rPr>
            </w:pPr>
            <w:r>
              <w:rPr>
                <w:rFonts w:hint="eastAsia" w:ascii="Arial" w:eastAsia="宋体"/>
                <w:sz w:val="21"/>
                <w:lang w:eastAsia="zh-CN"/>
              </w:rPr>
              <w:t>六</w:t>
            </w:r>
            <w:r>
              <w:rPr>
                <w:rFonts w:hint="eastAsia" w:ascii="Arial"/>
                <w:sz w:val="21"/>
              </w:rPr>
              <w:t>、交通运输支出</w:t>
            </w:r>
          </w:p>
        </w:tc>
        <w:tc>
          <w:tcPr>
            <w:tcW w:w="1195"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3,030.54</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trPr>
        <w:tc>
          <w:tcPr>
            <w:tcW w:w="2979" w:type="dxa"/>
            <w:vAlign w:val="top"/>
          </w:tcPr>
          <w:p>
            <w:pPr>
              <w:rPr>
                <w:rFonts w:ascii="Arial"/>
                <w:sz w:val="21"/>
              </w:rPr>
            </w:pPr>
          </w:p>
        </w:tc>
        <w:tc>
          <w:tcPr>
            <w:tcW w:w="1190" w:type="dxa"/>
            <w:vAlign w:val="top"/>
          </w:tcPr>
          <w:p>
            <w:pPr>
              <w:rPr>
                <w:rFonts w:ascii="Arial"/>
                <w:sz w:val="21"/>
              </w:rPr>
            </w:pPr>
          </w:p>
        </w:tc>
        <w:tc>
          <w:tcPr>
            <w:tcW w:w="2976" w:type="dxa"/>
            <w:vAlign w:val="top"/>
          </w:tcPr>
          <w:p>
            <w:pPr>
              <w:rPr>
                <w:rFonts w:ascii="Arial"/>
                <w:sz w:val="21"/>
              </w:rPr>
            </w:pPr>
            <w:r>
              <w:rPr>
                <w:rFonts w:hint="eastAsia" w:ascii="Arial" w:eastAsia="宋体"/>
                <w:sz w:val="21"/>
                <w:lang w:eastAsia="zh-CN"/>
              </w:rPr>
              <w:t>七</w:t>
            </w:r>
            <w:r>
              <w:rPr>
                <w:rFonts w:hint="eastAsia" w:ascii="Arial"/>
                <w:sz w:val="21"/>
              </w:rPr>
              <w:t>、其他支出</w:t>
            </w:r>
          </w:p>
        </w:tc>
        <w:tc>
          <w:tcPr>
            <w:tcW w:w="1195"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60.00</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trPr>
        <w:tc>
          <w:tcPr>
            <w:tcW w:w="2979" w:type="dxa"/>
            <w:vAlign w:val="top"/>
          </w:tcPr>
          <w:p>
            <w:pPr>
              <w:rPr>
                <w:rFonts w:ascii="Arial"/>
                <w:sz w:val="21"/>
              </w:rPr>
            </w:pPr>
          </w:p>
        </w:tc>
        <w:tc>
          <w:tcPr>
            <w:tcW w:w="1190" w:type="dxa"/>
            <w:vAlign w:val="top"/>
          </w:tcPr>
          <w:p>
            <w:pPr>
              <w:rPr>
                <w:rFonts w:ascii="Arial"/>
                <w:sz w:val="21"/>
              </w:rPr>
            </w:pPr>
          </w:p>
        </w:tc>
        <w:tc>
          <w:tcPr>
            <w:tcW w:w="2976" w:type="dxa"/>
            <w:vAlign w:val="top"/>
          </w:tcPr>
          <w:p>
            <w:pPr>
              <w:rPr>
                <w:rFonts w:ascii="Arial"/>
                <w:sz w:val="21"/>
              </w:rPr>
            </w:pPr>
          </w:p>
        </w:tc>
        <w:tc>
          <w:tcPr>
            <w:tcW w:w="1195"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trPr>
        <w:tc>
          <w:tcPr>
            <w:tcW w:w="2979" w:type="dxa"/>
            <w:vAlign w:val="top"/>
          </w:tcPr>
          <w:p>
            <w:pPr>
              <w:rPr>
                <w:rFonts w:ascii="Arial"/>
                <w:sz w:val="21"/>
              </w:rPr>
            </w:pPr>
          </w:p>
        </w:tc>
        <w:tc>
          <w:tcPr>
            <w:tcW w:w="1190" w:type="dxa"/>
            <w:vAlign w:val="top"/>
          </w:tcPr>
          <w:p>
            <w:pPr>
              <w:rPr>
                <w:rFonts w:ascii="Arial"/>
                <w:sz w:val="21"/>
              </w:rPr>
            </w:pPr>
          </w:p>
        </w:tc>
        <w:tc>
          <w:tcPr>
            <w:tcW w:w="2976" w:type="dxa"/>
            <w:vAlign w:val="top"/>
          </w:tcPr>
          <w:p>
            <w:pPr>
              <w:rPr>
                <w:rFonts w:ascii="Arial"/>
                <w:sz w:val="21"/>
              </w:rPr>
            </w:pPr>
          </w:p>
        </w:tc>
        <w:tc>
          <w:tcPr>
            <w:tcW w:w="1195"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trPr>
        <w:tc>
          <w:tcPr>
            <w:tcW w:w="2979" w:type="dxa"/>
            <w:vAlign w:val="top"/>
          </w:tcPr>
          <w:p>
            <w:pPr>
              <w:spacing w:before="137" w:line="220" w:lineRule="auto"/>
              <w:ind w:left="561"/>
              <w:rPr>
                <w:rFonts w:ascii="宋体" w:hAnsi="宋体" w:eastAsia="宋体" w:cs="宋体"/>
                <w:sz w:val="22"/>
                <w:szCs w:val="22"/>
              </w:rPr>
            </w:pPr>
            <w:r>
              <w:rPr>
                <w:rFonts w:ascii="宋体" w:hAnsi="宋体" w:eastAsia="宋体" w:cs="宋体"/>
                <w:sz w:val="22"/>
                <w:szCs w:val="22"/>
              </w:rPr>
              <w:t>本 年 收 入 合 计</w:t>
            </w:r>
          </w:p>
        </w:tc>
        <w:tc>
          <w:tcPr>
            <w:tcW w:w="119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b/>
                <w:i w:val="0"/>
                <w:color w:val="000000"/>
                <w:spacing w:val="0"/>
                <w:w w:val="100"/>
                <w:position w:val="0"/>
                <w:sz w:val="22"/>
                <w:szCs w:val="22"/>
                <w:u w:val="none"/>
                <w:shd w:val="clear" w:color="auto" w:fill="auto"/>
                <w:lang w:val="en-US" w:eastAsia="en-US" w:bidi="en-US"/>
              </w:rPr>
            </w:pPr>
            <w:r>
              <w:rPr>
                <w:rFonts w:hint="eastAsia" w:ascii="宋体" w:hAnsi="宋体" w:eastAsia="宋体" w:cs="宋体"/>
                <w:b/>
                <w:i w:val="0"/>
                <w:color w:val="000000"/>
                <w:spacing w:val="0"/>
                <w:w w:val="100"/>
                <w:kern w:val="0"/>
                <w:position w:val="0"/>
                <w:sz w:val="22"/>
                <w:szCs w:val="22"/>
                <w:u w:val="none"/>
                <w:shd w:val="clear" w:color="auto" w:fill="auto"/>
                <w:lang w:val="en-US" w:eastAsia="zh-CN" w:bidi="ar"/>
              </w:rPr>
              <w:t>2,377.56</w:t>
            </w:r>
          </w:p>
        </w:tc>
        <w:tc>
          <w:tcPr>
            <w:tcW w:w="2976" w:type="dxa"/>
            <w:vAlign w:val="top"/>
          </w:tcPr>
          <w:p>
            <w:pPr>
              <w:spacing w:before="137" w:line="220" w:lineRule="auto"/>
              <w:ind w:left="561"/>
              <w:rPr>
                <w:rFonts w:ascii="宋体" w:hAnsi="宋体" w:eastAsia="宋体" w:cs="宋体"/>
                <w:sz w:val="22"/>
                <w:szCs w:val="22"/>
              </w:rPr>
            </w:pPr>
            <w:r>
              <w:rPr>
                <w:rFonts w:ascii="宋体" w:hAnsi="宋体" w:eastAsia="宋体" w:cs="宋体"/>
                <w:spacing w:val="-1"/>
                <w:sz w:val="22"/>
                <w:szCs w:val="22"/>
              </w:rPr>
              <w:t>本 年</w:t>
            </w:r>
            <w:r>
              <w:rPr>
                <w:rFonts w:ascii="宋体" w:hAnsi="宋体" w:eastAsia="宋体" w:cs="宋体"/>
                <w:sz w:val="22"/>
                <w:szCs w:val="22"/>
              </w:rPr>
              <w:t xml:space="preserve"> 支 出 合 计</w:t>
            </w:r>
          </w:p>
        </w:tc>
        <w:tc>
          <w:tcPr>
            <w:tcW w:w="1195"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b/>
                <w:i w:val="0"/>
                <w:color w:val="000000"/>
                <w:spacing w:val="0"/>
                <w:w w:val="100"/>
                <w:position w:val="0"/>
                <w:sz w:val="22"/>
                <w:szCs w:val="22"/>
                <w:u w:val="none"/>
                <w:shd w:val="clear" w:color="auto" w:fill="auto"/>
                <w:lang w:val="en-US" w:eastAsia="en-US" w:bidi="en-US"/>
              </w:rPr>
            </w:pPr>
            <w:r>
              <w:rPr>
                <w:rFonts w:hint="eastAsia" w:ascii="宋体" w:hAnsi="宋体" w:eastAsia="宋体" w:cs="宋体"/>
                <w:b/>
                <w:i w:val="0"/>
                <w:color w:val="000000"/>
                <w:spacing w:val="0"/>
                <w:w w:val="100"/>
                <w:kern w:val="0"/>
                <w:position w:val="0"/>
                <w:sz w:val="22"/>
                <w:szCs w:val="22"/>
                <w:u w:val="none"/>
                <w:shd w:val="clear" w:color="auto" w:fill="auto"/>
                <w:lang w:val="en-US" w:eastAsia="zh-CN" w:bidi="ar"/>
              </w:rPr>
              <w:t>3,507.69</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trPr>
        <w:tc>
          <w:tcPr>
            <w:tcW w:w="2979" w:type="dxa"/>
            <w:vAlign w:val="top"/>
          </w:tcPr>
          <w:p>
            <w:pPr>
              <w:spacing w:before="136" w:line="232" w:lineRule="auto"/>
              <w:ind w:left="22"/>
              <w:rPr>
                <w:rFonts w:ascii="宋体" w:hAnsi="宋体" w:eastAsia="宋体" w:cs="宋体"/>
                <w:sz w:val="22"/>
                <w:szCs w:val="22"/>
              </w:rPr>
            </w:pPr>
            <w:r>
              <w:rPr>
                <w:rFonts w:ascii="宋体" w:hAnsi="宋体" w:eastAsia="宋体" w:cs="宋体"/>
                <w:spacing w:val="-1"/>
                <w:sz w:val="22"/>
                <w:szCs w:val="22"/>
              </w:rPr>
              <w:t>七、用事业基金</w:t>
            </w:r>
            <w:r>
              <w:rPr>
                <w:rFonts w:ascii="宋体" w:hAnsi="宋体" w:eastAsia="宋体" w:cs="宋体"/>
                <w:sz w:val="22"/>
                <w:szCs w:val="22"/>
              </w:rPr>
              <w:t>弥补收支差额</w:t>
            </w:r>
          </w:p>
        </w:tc>
        <w:tc>
          <w:tcPr>
            <w:tcW w:w="1190" w:type="dxa"/>
            <w:vAlign w:val="top"/>
          </w:tcPr>
          <w:p>
            <w:pPr>
              <w:rPr>
                <w:rFonts w:ascii="Arial"/>
                <w:sz w:val="21"/>
              </w:rPr>
            </w:pPr>
          </w:p>
        </w:tc>
        <w:tc>
          <w:tcPr>
            <w:tcW w:w="2976" w:type="dxa"/>
            <w:vAlign w:val="top"/>
          </w:tcPr>
          <w:p>
            <w:pPr>
              <w:spacing w:before="136" w:line="225" w:lineRule="auto"/>
              <w:ind w:left="22"/>
              <w:rPr>
                <w:rFonts w:ascii="宋体" w:hAnsi="宋体" w:eastAsia="宋体" w:cs="宋体"/>
                <w:sz w:val="22"/>
                <w:szCs w:val="22"/>
              </w:rPr>
            </w:pPr>
            <w:r>
              <w:rPr>
                <w:rFonts w:ascii="宋体" w:hAnsi="宋体" w:eastAsia="宋体" w:cs="宋体"/>
                <w:spacing w:val="-1"/>
                <w:sz w:val="22"/>
                <w:szCs w:val="22"/>
              </w:rPr>
              <w:t>六、事业单位结余</w:t>
            </w:r>
            <w:r>
              <w:rPr>
                <w:rFonts w:ascii="宋体" w:hAnsi="宋体" w:eastAsia="宋体" w:cs="宋体"/>
                <w:sz w:val="22"/>
                <w:szCs w:val="22"/>
              </w:rPr>
              <w:t>分配</w:t>
            </w:r>
          </w:p>
        </w:tc>
        <w:tc>
          <w:tcPr>
            <w:tcW w:w="1195"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trPr>
        <w:tc>
          <w:tcPr>
            <w:tcW w:w="2979" w:type="dxa"/>
            <w:vAlign w:val="top"/>
          </w:tcPr>
          <w:p>
            <w:pPr>
              <w:spacing w:before="137" w:line="222" w:lineRule="auto"/>
              <w:ind w:left="26"/>
              <w:rPr>
                <w:rFonts w:ascii="宋体" w:hAnsi="宋体" w:eastAsia="宋体" w:cs="宋体"/>
                <w:sz w:val="22"/>
                <w:szCs w:val="22"/>
              </w:rPr>
            </w:pPr>
            <w:r>
              <w:rPr>
                <w:rFonts w:ascii="宋体" w:hAnsi="宋体" w:eastAsia="宋体" w:cs="宋体"/>
                <w:spacing w:val="-2"/>
                <w:sz w:val="22"/>
                <w:szCs w:val="22"/>
              </w:rPr>
              <w:t>八、上年结</w:t>
            </w:r>
            <w:r>
              <w:rPr>
                <w:rFonts w:ascii="宋体" w:hAnsi="宋体" w:eastAsia="宋体" w:cs="宋体"/>
                <w:spacing w:val="-1"/>
                <w:sz w:val="22"/>
                <w:szCs w:val="22"/>
              </w:rPr>
              <w:t>转</w:t>
            </w:r>
          </w:p>
        </w:tc>
        <w:tc>
          <w:tcPr>
            <w:tcW w:w="119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1,130.13</w:t>
            </w:r>
          </w:p>
        </w:tc>
        <w:tc>
          <w:tcPr>
            <w:tcW w:w="2976" w:type="dxa"/>
            <w:vAlign w:val="top"/>
          </w:tcPr>
          <w:p>
            <w:pPr>
              <w:spacing w:before="137" w:line="222" w:lineRule="auto"/>
              <w:ind w:left="463"/>
              <w:rPr>
                <w:rFonts w:ascii="宋体" w:hAnsi="宋体" w:eastAsia="宋体" w:cs="宋体"/>
                <w:sz w:val="22"/>
                <w:szCs w:val="22"/>
              </w:rPr>
            </w:pPr>
            <w:r>
              <w:rPr>
                <w:rFonts w:ascii="宋体" w:hAnsi="宋体" w:eastAsia="宋体" w:cs="宋体"/>
                <w:spacing w:val="-1"/>
                <w:sz w:val="22"/>
                <w:szCs w:val="22"/>
              </w:rPr>
              <w:t>其中：转入事业基</w:t>
            </w:r>
            <w:r>
              <w:rPr>
                <w:rFonts w:ascii="宋体" w:hAnsi="宋体" w:eastAsia="宋体" w:cs="宋体"/>
                <w:sz w:val="22"/>
                <w:szCs w:val="22"/>
              </w:rPr>
              <w:t>金</w:t>
            </w:r>
          </w:p>
        </w:tc>
        <w:tc>
          <w:tcPr>
            <w:tcW w:w="1195"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643" w:hRule="atLeast"/>
        </w:trPr>
        <w:tc>
          <w:tcPr>
            <w:tcW w:w="2979" w:type="dxa"/>
            <w:vAlign w:val="top"/>
          </w:tcPr>
          <w:p>
            <w:pPr>
              <w:rPr>
                <w:rFonts w:ascii="Arial"/>
                <w:sz w:val="21"/>
              </w:rPr>
            </w:pPr>
          </w:p>
        </w:tc>
        <w:tc>
          <w:tcPr>
            <w:tcW w:w="1190" w:type="dxa"/>
            <w:vAlign w:val="top"/>
          </w:tcPr>
          <w:p>
            <w:pPr>
              <w:rPr>
                <w:rFonts w:ascii="Arial"/>
                <w:sz w:val="21"/>
              </w:rPr>
            </w:pPr>
          </w:p>
        </w:tc>
        <w:tc>
          <w:tcPr>
            <w:tcW w:w="2976" w:type="dxa"/>
            <w:vAlign w:val="top"/>
          </w:tcPr>
          <w:p>
            <w:pPr>
              <w:spacing w:before="221" w:line="232" w:lineRule="auto"/>
              <w:ind w:left="19"/>
              <w:rPr>
                <w:rFonts w:ascii="宋体" w:hAnsi="宋体" w:eastAsia="宋体" w:cs="宋体"/>
                <w:sz w:val="22"/>
                <w:szCs w:val="22"/>
              </w:rPr>
            </w:pPr>
            <w:r>
              <w:rPr>
                <w:rFonts w:ascii="宋体" w:hAnsi="宋体" w:eastAsia="宋体" w:cs="宋体"/>
                <w:spacing w:val="-1"/>
                <w:sz w:val="22"/>
                <w:szCs w:val="22"/>
              </w:rPr>
              <w:t>七、结转下年</w:t>
            </w:r>
          </w:p>
        </w:tc>
        <w:tc>
          <w:tcPr>
            <w:tcW w:w="1195"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b/>
                <w:i w:val="0"/>
                <w:color w:val="000000"/>
                <w:spacing w:val="0"/>
                <w:w w:val="100"/>
                <w:position w:val="0"/>
                <w:sz w:val="22"/>
                <w:szCs w:val="22"/>
                <w:u w:val="none"/>
                <w:shd w:val="clear" w:color="auto" w:fill="auto"/>
                <w:lang w:val="en-US" w:eastAsia="en-US" w:bidi="en-US"/>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80" w:hRule="atLeast"/>
        </w:trPr>
        <w:tc>
          <w:tcPr>
            <w:tcW w:w="2979" w:type="dxa"/>
            <w:vAlign w:val="top"/>
          </w:tcPr>
          <w:p>
            <w:pPr>
              <w:spacing w:before="138" w:line="221" w:lineRule="auto"/>
              <w:ind w:left="734"/>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收</w:t>
            </w:r>
            <w:r>
              <w:rPr>
                <w:rFonts w:ascii="宋体" w:hAnsi="宋体" w:eastAsia="宋体" w:cs="宋体"/>
                <w:spacing w:val="-1"/>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入</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总</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计</w:t>
            </w:r>
          </w:p>
        </w:tc>
        <w:tc>
          <w:tcPr>
            <w:tcW w:w="119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b/>
                <w:i w:val="0"/>
                <w:color w:val="000000"/>
                <w:spacing w:val="0"/>
                <w:w w:val="100"/>
                <w:position w:val="0"/>
                <w:sz w:val="22"/>
                <w:szCs w:val="22"/>
                <w:u w:val="none"/>
                <w:shd w:val="clear" w:color="auto" w:fill="auto"/>
                <w:lang w:val="en-US" w:eastAsia="en-US" w:bidi="en-US"/>
              </w:rPr>
            </w:pPr>
            <w:r>
              <w:rPr>
                <w:rFonts w:hint="eastAsia" w:ascii="宋体" w:hAnsi="宋体" w:eastAsia="宋体" w:cs="宋体"/>
                <w:b/>
                <w:i w:val="0"/>
                <w:color w:val="000000"/>
                <w:spacing w:val="0"/>
                <w:w w:val="100"/>
                <w:kern w:val="0"/>
                <w:position w:val="0"/>
                <w:sz w:val="22"/>
                <w:szCs w:val="22"/>
                <w:u w:val="none"/>
                <w:shd w:val="clear" w:color="auto" w:fill="auto"/>
                <w:lang w:val="en-US" w:eastAsia="zh-CN" w:bidi="ar"/>
              </w:rPr>
              <w:t>3,507.69</w:t>
            </w:r>
          </w:p>
        </w:tc>
        <w:tc>
          <w:tcPr>
            <w:tcW w:w="2976" w:type="dxa"/>
            <w:vAlign w:val="top"/>
          </w:tcPr>
          <w:p>
            <w:pPr>
              <w:spacing w:before="138" w:line="222" w:lineRule="auto"/>
              <w:ind w:left="727"/>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支</w:t>
            </w:r>
            <w:r>
              <w:rPr>
                <w:rFonts w:ascii="宋体" w:hAnsi="宋体" w:eastAsia="宋体" w:cs="宋体"/>
                <w:spacing w:val="1"/>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出</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总</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计</w:t>
            </w:r>
          </w:p>
        </w:tc>
        <w:tc>
          <w:tcPr>
            <w:tcW w:w="1195"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b/>
                <w:i w:val="0"/>
                <w:color w:val="000000"/>
                <w:spacing w:val="0"/>
                <w:w w:val="100"/>
                <w:position w:val="0"/>
                <w:sz w:val="22"/>
                <w:szCs w:val="22"/>
                <w:u w:val="none"/>
                <w:shd w:val="clear" w:color="auto" w:fill="auto"/>
                <w:lang w:val="en-US" w:eastAsia="en-US" w:bidi="en-US"/>
              </w:rPr>
            </w:pPr>
            <w:r>
              <w:rPr>
                <w:rFonts w:hint="eastAsia" w:ascii="宋体" w:hAnsi="宋体" w:eastAsia="宋体" w:cs="宋体"/>
                <w:b/>
                <w:i w:val="0"/>
                <w:color w:val="000000"/>
                <w:spacing w:val="0"/>
                <w:w w:val="100"/>
                <w:kern w:val="0"/>
                <w:position w:val="0"/>
                <w:sz w:val="22"/>
                <w:szCs w:val="22"/>
                <w:u w:val="none"/>
                <w:shd w:val="clear" w:color="auto" w:fill="auto"/>
                <w:lang w:val="en-US" w:eastAsia="zh-CN" w:bidi="ar"/>
              </w:rPr>
              <w:t>3,507.69</w:t>
            </w:r>
          </w:p>
        </w:tc>
      </w:tr>
    </w:tbl>
    <w:p>
      <w:pPr>
        <w:rPr>
          <w:rFonts w:ascii="Arial"/>
          <w:sz w:val="21"/>
        </w:rPr>
      </w:pPr>
    </w:p>
    <w:p>
      <w:pPr>
        <w:sectPr>
          <w:footerReference r:id="rId16" w:type="default"/>
          <w:pgSz w:w="11906" w:h="16839"/>
          <w:pgMar w:top="1431" w:right="1780" w:bottom="856" w:left="1780" w:header="0" w:footer="572" w:gutter="0"/>
          <w:cols w:space="720" w:num="1"/>
        </w:sectPr>
      </w:pPr>
    </w:p>
    <w:p>
      <w:pPr>
        <w:spacing w:before="71" w:line="222" w:lineRule="auto"/>
        <w:ind w:right="366"/>
        <w:jc w:val="right"/>
        <w:rPr>
          <w:rFonts w:ascii="宋体" w:hAnsi="宋体" w:eastAsia="宋体" w:cs="宋体"/>
          <w:sz w:val="22"/>
          <w:szCs w:val="22"/>
        </w:rPr>
      </w:pPr>
      <w:r>
        <w:rPr>
          <w:rFonts w:ascii="宋体" w:hAnsi="宋体" w:eastAsia="宋体" w:cs="宋体"/>
          <w:spacing w:val="-4"/>
          <w:sz w:val="22"/>
          <w:szCs w:val="22"/>
        </w:rPr>
        <w:t>公开表 1-1</w:t>
      </w:r>
    </w:p>
    <w:p/>
    <w:p/>
    <w:p/>
    <w:p>
      <w:pPr>
        <w:spacing w:line="74" w:lineRule="exact"/>
      </w:pPr>
    </w:p>
    <w:tbl>
      <w:tblPr>
        <w:tblStyle w:val="30"/>
        <w:tblW w:w="13992" w:type="dxa"/>
        <w:tblInd w:w="2" w:type="dxa"/>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
      <w:tblGrid>
        <w:gridCol w:w="981"/>
        <w:gridCol w:w="2383"/>
        <w:gridCol w:w="1217"/>
        <w:gridCol w:w="1050"/>
        <w:gridCol w:w="900"/>
        <w:gridCol w:w="983"/>
        <w:gridCol w:w="753"/>
        <w:gridCol w:w="954"/>
        <w:gridCol w:w="955"/>
        <w:gridCol w:w="955"/>
        <w:gridCol w:w="955"/>
        <w:gridCol w:w="955"/>
        <w:gridCol w:w="951"/>
      </w:tblGrid>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980" w:hRule="atLeast"/>
        </w:trPr>
        <w:tc>
          <w:tcPr>
            <w:tcW w:w="3364" w:type="dxa"/>
            <w:gridSpan w:val="2"/>
            <w:tcBorders>
              <w:top w:val="single" w:color="FFFFFF" w:sz="2" w:space="0"/>
              <w:left w:val="single" w:color="FFFFFF" w:sz="2" w:space="0"/>
              <w:right w:val="nil"/>
            </w:tcBorders>
            <w:vAlign w:val="top"/>
          </w:tcPr>
          <w:p>
            <w:pPr>
              <w:spacing w:line="316" w:lineRule="auto"/>
              <w:rPr>
                <w:rFonts w:ascii="Arial"/>
                <w:sz w:val="21"/>
              </w:rPr>
            </w:pPr>
          </w:p>
          <w:p>
            <w:pPr>
              <w:spacing w:line="316" w:lineRule="auto"/>
              <w:rPr>
                <w:rFonts w:ascii="Arial"/>
                <w:sz w:val="21"/>
              </w:rPr>
            </w:pPr>
          </w:p>
          <w:p>
            <w:pPr>
              <w:spacing w:before="71" w:line="222" w:lineRule="auto"/>
              <w:ind w:left="25"/>
              <w:rPr>
                <w:rFonts w:hint="eastAsia" w:ascii="宋体" w:hAnsi="宋体" w:eastAsia="宋体" w:cs="宋体"/>
                <w:sz w:val="22"/>
                <w:szCs w:val="22"/>
                <w:lang w:eastAsia="zh-CN"/>
              </w:rPr>
            </w:pPr>
            <w:r>
              <w:rPr>
                <w:rFonts w:ascii="宋体" w:hAnsi="宋体" w:eastAsia="宋体" w:cs="宋体"/>
                <w:spacing w:val="-1"/>
                <w:sz w:val="22"/>
                <w:szCs w:val="22"/>
              </w:rPr>
              <w:t>单位：</w:t>
            </w:r>
          </w:p>
        </w:tc>
        <w:tc>
          <w:tcPr>
            <w:tcW w:w="10628" w:type="dxa"/>
            <w:gridSpan w:val="11"/>
            <w:tcBorders>
              <w:top w:val="single" w:color="FFFFFF" w:sz="2" w:space="0"/>
              <w:left w:val="nil"/>
              <w:right w:val="single" w:color="FFFFFF" w:sz="2" w:space="0"/>
            </w:tcBorders>
            <w:vAlign w:val="top"/>
          </w:tcPr>
          <w:p>
            <w:pPr>
              <w:spacing w:before="180" w:line="225" w:lineRule="auto"/>
              <w:ind w:left="3072"/>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单</w:t>
            </w:r>
            <w:r>
              <w:rPr>
                <w:rFonts w:ascii="宋体" w:hAnsi="宋体" w:eastAsia="宋体" w:cs="宋体"/>
                <w:spacing w:val="8"/>
                <w:sz w:val="31"/>
                <w:szCs w:val="31"/>
                <w14:textOutline w14:w="5793" w14:cap="sq" w14:cmpd="sng">
                  <w14:solidFill>
                    <w14:srgbClr w14:val="000000"/>
                  </w14:solidFill>
                  <w14:prstDash w14:val="solid"/>
                  <w14:bevel/>
                </w14:textOutline>
              </w:rPr>
              <w:t>位收入总表</w:t>
            </w:r>
          </w:p>
          <w:p>
            <w:pPr>
              <w:spacing w:before="149" w:line="221" w:lineRule="auto"/>
              <w:ind w:right="440"/>
              <w:jc w:val="right"/>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07" w:hRule="atLeast"/>
        </w:trPr>
        <w:tc>
          <w:tcPr>
            <w:tcW w:w="3364" w:type="dxa"/>
            <w:gridSpan w:val="2"/>
            <w:shd w:val="clear" w:color="auto" w:fill="EFF2F7"/>
            <w:vAlign w:val="top"/>
          </w:tcPr>
          <w:p>
            <w:pPr>
              <w:spacing w:before="149" w:line="222" w:lineRule="auto"/>
              <w:ind w:left="1058"/>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项</w:t>
            </w:r>
            <w:r>
              <w:rPr>
                <w:rFonts w:ascii="宋体" w:hAnsi="宋体" w:eastAsia="宋体" w:cs="宋体"/>
                <w:spacing w:val="7"/>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目</w:t>
            </w:r>
          </w:p>
        </w:tc>
        <w:tc>
          <w:tcPr>
            <w:tcW w:w="1217" w:type="dxa"/>
            <w:vMerge w:val="restart"/>
            <w:tcBorders>
              <w:bottom w:val="nil"/>
            </w:tcBorders>
            <w:shd w:val="clear" w:color="auto" w:fill="EFF2F7"/>
            <w:vAlign w:val="top"/>
          </w:tcPr>
          <w:p>
            <w:pPr>
              <w:spacing w:line="294" w:lineRule="auto"/>
              <w:rPr>
                <w:rFonts w:ascii="Arial"/>
                <w:sz w:val="21"/>
              </w:rPr>
            </w:pPr>
          </w:p>
          <w:p>
            <w:pPr>
              <w:spacing w:line="295" w:lineRule="auto"/>
              <w:rPr>
                <w:rFonts w:ascii="Arial"/>
                <w:sz w:val="21"/>
              </w:rPr>
            </w:pPr>
          </w:p>
          <w:p>
            <w:pPr>
              <w:spacing w:before="71" w:line="222" w:lineRule="auto"/>
              <w:ind w:left="445"/>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1050" w:type="dxa"/>
            <w:vMerge w:val="restart"/>
            <w:tcBorders>
              <w:bottom w:val="nil"/>
            </w:tcBorders>
            <w:shd w:val="clear" w:color="auto" w:fill="EFF2F7"/>
            <w:vAlign w:val="top"/>
          </w:tcPr>
          <w:p>
            <w:pPr>
              <w:spacing w:line="427" w:lineRule="auto"/>
              <w:rPr>
                <w:rFonts w:ascii="Arial"/>
                <w:sz w:val="21"/>
              </w:rPr>
            </w:pPr>
          </w:p>
          <w:p>
            <w:pPr>
              <w:spacing w:before="72" w:line="282" w:lineRule="auto"/>
              <w:ind w:left="338" w:right="106" w:hanging="217"/>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上</w:t>
            </w:r>
            <w:r>
              <w:rPr>
                <w:rFonts w:ascii="宋体" w:hAnsi="宋体" w:eastAsia="宋体" w:cs="宋体"/>
                <w:spacing w:val="-2"/>
                <w:sz w:val="22"/>
                <w:szCs w:val="22"/>
                <w14:textOutline w14:w="4013" w14:cap="sq" w14:cmpd="sng">
                  <w14:solidFill>
                    <w14:srgbClr w14:val="000000"/>
                  </w14:solidFill>
                  <w14:prstDash w14:val="solid"/>
                  <w14:bevel/>
                </w14:textOutline>
              </w:rPr>
              <w:t>年结</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转</w:t>
            </w:r>
          </w:p>
        </w:tc>
        <w:tc>
          <w:tcPr>
            <w:tcW w:w="900" w:type="dxa"/>
            <w:vMerge w:val="restart"/>
            <w:tcBorders>
              <w:bottom w:val="nil"/>
            </w:tcBorders>
            <w:shd w:val="clear" w:color="auto" w:fill="EFF2F7"/>
            <w:vAlign w:val="top"/>
          </w:tcPr>
          <w:p>
            <w:pPr>
              <w:spacing w:line="429" w:lineRule="auto"/>
              <w:rPr>
                <w:rFonts w:ascii="Arial"/>
                <w:sz w:val="21"/>
              </w:rPr>
            </w:pPr>
          </w:p>
          <w:p>
            <w:pPr>
              <w:spacing w:before="71" w:line="281" w:lineRule="auto"/>
              <w:ind w:left="44" w:right="32" w:firstLine="1"/>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一般公</w:t>
            </w:r>
            <w:r>
              <w:rPr>
                <w:rFonts w:ascii="宋体" w:hAnsi="宋体" w:eastAsia="宋体" w:cs="宋体"/>
                <w:spacing w:val="-1"/>
                <w:sz w:val="22"/>
                <w:szCs w:val="22"/>
                <w14:textOutline w14:w="4013" w14:cap="sq" w14:cmpd="sng">
                  <w14:solidFill>
                    <w14:srgbClr w14:val="000000"/>
                  </w14:solidFill>
                  <w14:prstDash w14:val="solid"/>
                  <w14:bevel/>
                </w14:textOutline>
              </w:rPr>
              <w:t>共预</w:t>
            </w:r>
            <w:r>
              <w:rPr>
                <w:rFonts w:ascii="宋体" w:hAnsi="宋体" w:eastAsia="宋体" w:cs="宋体"/>
                <w:sz w:val="22"/>
                <w:szCs w:val="22"/>
              </w:rPr>
              <w:t xml:space="preserve"> </w:t>
            </w:r>
            <w:r>
              <w:rPr>
                <w:rFonts w:ascii="宋体" w:hAnsi="宋体" w:eastAsia="宋体" w:cs="宋体"/>
                <w:spacing w:val="-2"/>
                <w:sz w:val="22"/>
                <w:szCs w:val="22"/>
                <w14:textOutline w14:w="4013" w14:cap="sq" w14:cmpd="sng">
                  <w14:solidFill>
                    <w14:srgbClr w14:val="000000"/>
                  </w14:solidFill>
                  <w14:prstDash w14:val="solid"/>
                  <w14:bevel/>
                </w14:textOutline>
              </w:rPr>
              <w:t>算拨</w:t>
            </w:r>
            <w:r>
              <w:rPr>
                <w:rFonts w:ascii="宋体" w:hAnsi="宋体" w:eastAsia="宋体" w:cs="宋体"/>
                <w:spacing w:val="-1"/>
                <w:sz w:val="22"/>
                <w:szCs w:val="22"/>
                <w14:textOutline w14:w="4013" w14:cap="sq" w14:cmpd="sng">
                  <w14:solidFill>
                    <w14:srgbClr w14:val="000000"/>
                  </w14:solidFill>
                  <w14:prstDash w14:val="solid"/>
                  <w14:bevel/>
                </w14:textOutline>
              </w:rPr>
              <w:t>款收入</w:t>
            </w:r>
          </w:p>
        </w:tc>
        <w:tc>
          <w:tcPr>
            <w:tcW w:w="983" w:type="dxa"/>
            <w:vMerge w:val="restart"/>
            <w:tcBorders>
              <w:bottom w:val="nil"/>
            </w:tcBorders>
            <w:shd w:val="clear" w:color="auto" w:fill="EFF2F7"/>
            <w:vAlign w:val="top"/>
          </w:tcPr>
          <w:p>
            <w:pPr>
              <w:spacing w:line="271" w:lineRule="auto"/>
              <w:rPr>
                <w:rFonts w:ascii="Arial"/>
                <w:sz w:val="21"/>
              </w:rPr>
            </w:pPr>
          </w:p>
          <w:p>
            <w:pPr>
              <w:spacing w:before="72" w:line="220" w:lineRule="auto"/>
              <w:ind w:left="42"/>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政</w:t>
            </w:r>
            <w:r>
              <w:rPr>
                <w:rFonts w:ascii="宋体" w:hAnsi="宋体" w:eastAsia="宋体" w:cs="宋体"/>
                <w:spacing w:val="-1"/>
                <w:sz w:val="22"/>
                <w:szCs w:val="22"/>
                <w14:textOutline w14:w="4013" w14:cap="sq" w14:cmpd="sng">
                  <w14:solidFill>
                    <w14:srgbClr w14:val="000000"/>
                  </w14:solidFill>
                  <w14:prstDash w14:val="solid"/>
                  <w14:bevel/>
                </w14:textOutline>
              </w:rPr>
              <w:t>府性基</w:t>
            </w:r>
          </w:p>
          <w:p>
            <w:pPr>
              <w:spacing w:before="56" w:line="221" w:lineRule="auto"/>
              <w:ind w:left="44"/>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金预算</w:t>
            </w:r>
            <w:r>
              <w:rPr>
                <w:rFonts w:ascii="宋体" w:hAnsi="宋体" w:eastAsia="宋体" w:cs="宋体"/>
                <w:spacing w:val="-1"/>
                <w:sz w:val="22"/>
                <w:szCs w:val="22"/>
                <w14:textOutline w14:w="4013" w14:cap="sq" w14:cmpd="sng">
                  <w14:solidFill>
                    <w14:srgbClr w14:val="000000"/>
                  </w14:solidFill>
                  <w14:prstDash w14:val="solid"/>
                  <w14:bevel/>
                </w14:textOutline>
              </w:rPr>
              <w:t>拨</w:t>
            </w:r>
          </w:p>
          <w:p>
            <w:pPr>
              <w:spacing w:before="55" w:line="221" w:lineRule="auto"/>
              <w:ind w:left="154"/>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款</w:t>
            </w:r>
            <w:r>
              <w:rPr>
                <w:rFonts w:ascii="宋体" w:hAnsi="宋体" w:eastAsia="宋体" w:cs="宋体"/>
                <w:spacing w:val="-2"/>
                <w:sz w:val="22"/>
                <w:szCs w:val="22"/>
                <w14:textOutline w14:w="4013" w14:cap="sq" w14:cmpd="sng">
                  <w14:solidFill>
                    <w14:srgbClr w14:val="000000"/>
                  </w14:solidFill>
                  <w14:prstDash w14:val="solid"/>
                  <w14:bevel/>
                </w14:textOutline>
              </w:rPr>
              <w:t>收入</w:t>
            </w:r>
          </w:p>
        </w:tc>
        <w:tc>
          <w:tcPr>
            <w:tcW w:w="753" w:type="dxa"/>
            <w:vMerge w:val="restart"/>
            <w:tcBorders>
              <w:bottom w:val="nil"/>
            </w:tcBorders>
            <w:shd w:val="clear" w:color="auto" w:fill="EFF2F7"/>
            <w:vAlign w:val="top"/>
          </w:tcPr>
          <w:p>
            <w:pPr>
              <w:spacing w:line="270" w:lineRule="auto"/>
              <w:rPr>
                <w:rFonts w:ascii="Arial"/>
                <w:sz w:val="21"/>
              </w:rPr>
            </w:pPr>
          </w:p>
          <w:p>
            <w:pPr>
              <w:spacing w:before="72" w:line="277" w:lineRule="auto"/>
              <w:ind w:left="45" w:right="31" w:firstLine="19"/>
              <w:rPr>
                <w:rFonts w:ascii="宋体" w:hAnsi="宋体" w:eastAsia="宋体" w:cs="宋体"/>
                <w:sz w:val="22"/>
                <w:szCs w:val="22"/>
              </w:rPr>
            </w:pPr>
            <w:r>
              <w:rPr>
                <w:rFonts w:ascii="宋体" w:hAnsi="宋体" w:eastAsia="宋体" w:cs="宋体"/>
                <w:spacing w:val="-9"/>
                <w:sz w:val="22"/>
                <w:szCs w:val="22"/>
                <w14:textOutline w14:w="4013" w14:cap="sq" w14:cmpd="sng">
                  <w14:solidFill>
                    <w14:srgbClr w14:val="000000"/>
                  </w14:solidFill>
                  <w14:prstDash w14:val="solid"/>
                  <w14:bevel/>
                </w14:textOutline>
              </w:rPr>
              <w:t>国</w:t>
            </w:r>
            <w:r>
              <w:rPr>
                <w:rFonts w:ascii="宋体" w:hAnsi="宋体" w:eastAsia="宋体" w:cs="宋体"/>
                <w:spacing w:val="-6"/>
                <w:sz w:val="22"/>
                <w:szCs w:val="22"/>
                <w14:textOutline w14:w="4013" w14:cap="sq" w14:cmpd="sng">
                  <w14:solidFill>
                    <w14:srgbClr w14:val="000000"/>
                  </w14:solidFill>
                  <w14:prstDash w14:val="solid"/>
                  <w14:bevel/>
                </w14:textOutline>
              </w:rPr>
              <w:t>有资本</w:t>
            </w:r>
            <w:r>
              <w:rPr>
                <w:rFonts w:ascii="宋体" w:hAnsi="宋体" w:eastAsia="宋体" w:cs="宋体"/>
                <w:sz w:val="22"/>
                <w:szCs w:val="22"/>
              </w:rPr>
              <w:t xml:space="preserve"> </w:t>
            </w:r>
            <w:r>
              <w:rPr>
                <w:rFonts w:ascii="宋体" w:hAnsi="宋体" w:eastAsia="宋体" w:cs="宋体"/>
                <w:spacing w:val="-2"/>
                <w:sz w:val="22"/>
                <w:szCs w:val="22"/>
                <w14:textOutline w14:w="4013" w14:cap="sq" w14:cmpd="sng">
                  <w14:solidFill>
                    <w14:srgbClr w14:val="000000"/>
                  </w14:solidFill>
                  <w14:prstDash w14:val="solid"/>
                  <w14:bevel/>
                </w14:textOutline>
              </w:rPr>
              <w:t>经营预</w:t>
            </w:r>
            <w:r>
              <w:rPr>
                <w:rFonts w:ascii="宋体" w:hAnsi="宋体" w:eastAsia="宋体" w:cs="宋体"/>
                <w:spacing w:val="-1"/>
                <w:sz w:val="22"/>
                <w:szCs w:val="22"/>
                <w14:textOutline w14:w="4013" w14:cap="sq" w14:cmpd="sng">
                  <w14:solidFill>
                    <w14:srgbClr w14:val="000000"/>
                  </w14:solidFill>
                  <w14:prstDash w14:val="solid"/>
                  <w14:bevel/>
                </w14:textOutline>
              </w:rPr>
              <w:t>算</w:t>
            </w:r>
            <w:r>
              <w:rPr>
                <w:rFonts w:ascii="宋体" w:hAnsi="宋体" w:eastAsia="宋体" w:cs="宋体"/>
                <w:sz w:val="22"/>
                <w:szCs w:val="22"/>
              </w:rPr>
              <w:t xml:space="preserve"> </w:t>
            </w:r>
            <w:r>
              <w:rPr>
                <w:rFonts w:ascii="宋体" w:hAnsi="宋体" w:eastAsia="宋体" w:cs="宋体"/>
                <w:spacing w:val="-2"/>
                <w:sz w:val="22"/>
                <w:szCs w:val="22"/>
                <w14:textOutline w14:w="4013" w14:cap="sq" w14:cmpd="sng">
                  <w14:solidFill>
                    <w14:srgbClr w14:val="000000"/>
                  </w14:solidFill>
                  <w14:prstDash w14:val="solid"/>
                  <w14:bevel/>
                </w14:textOutline>
              </w:rPr>
              <w:t>拨款收</w:t>
            </w:r>
            <w:r>
              <w:rPr>
                <w:rFonts w:ascii="宋体" w:hAnsi="宋体" w:eastAsia="宋体" w:cs="宋体"/>
                <w:spacing w:val="-1"/>
                <w:sz w:val="22"/>
                <w:szCs w:val="22"/>
                <w14:textOutline w14:w="4013" w14:cap="sq" w14:cmpd="sng">
                  <w14:solidFill>
                    <w14:srgbClr w14:val="000000"/>
                  </w14:solidFill>
                  <w14:prstDash w14:val="solid"/>
                  <w14:bevel/>
                </w14:textOutline>
              </w:rPr>
              <w:t>入</w:t>
            </w:r>
          </w:p>
        </w:tc>
        <w:tc>
          <w:tcPr>
            <w:tcW w:w="954" w:type="dxa"/>
            <w:vMerge w:val="restart"/>
            <w:tcBorders>
              <w:bottom w:val="nil"/>
            </w:tcBorders>
            <w:shd w:val="clear" w:color="auto" w:fill="EFF2F7"/>
            <w:vAlign w:val="top"/>
          </w:tcPr>
          <w:p>
            <w:pPr>
              <w:spacing w:line="294" w:lineRule="auto"/>
              <w:rPr>
                <w:rFonts w:ascii="Arial"/>
                <w:sz w:val="21"/>
              </w:rPr>
            </w:pPr>
          </w:p>
          <w:p>
            <w:pPr>
              <w:spacing w:line="294" w:lineRule="auto"/>
              <w:rPr>
                <w:rFonts w:ascii="Arial"/>
                <w:sz w:val="21"/>
              </w:rPr>
            </w:pPr>
          </w:p>
          <w:p>
            <w:pPr>
              <w:spacing w:before="72" w:line="221" w:lineRule="auto"/>
              <w:ind w:left="43"/>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事业</w:t>
            </w:r>
            <w:r>
              <w:rPr>
                <w:rFonts w:ascii="宋体" w:hAnsi="宋体" w:eastAsia="宋体" w:cs="宋体"/>
                <w:spacing w:val="-1"/>
                <w:sz w:val="22"/>
                <w:szCs w:val="22"/>
                <w14:textOutline w14:w="4013" w14:cap="sq" w14:cmpd="sng">
                  <w14:solidFill>
                    <w14:srgbClr w14:val="000000"/>
                  </w14:solidFill>
                  <w14:prstDash w14:val="solid"/>
                  <w14:bevel/>
                </w14:textOutline>
              </w:rPr>
              <w:t>收入</w:t>
            </w:r>
          </w:p>
        </w:tc>
        <w:tc>
          <w:tcPr>
            <w:tcW w:w="955" w:type="dxa"/>
            <w:vMerge w:val="restart"/>
            <w:tcBorders>
              <w:bottom w:val="nil"/>
            </w:tcBorders>
            <w:shd w:val="clear" w:color="auto" w:fill="EFF2F7"/>
            <w:vAlign w:val="top"/>
          </w:tcPr>
          <w:p>
            <w:pPr>
              <w:spacing w:line="429" w:lineRule="auto"/>
              <w:rPr>
                <w:rFonts w:ascii="Arial"/>
                <w:sz w:val="21"/>
              </w:rPr>
            </w:pPr>
          </w:p>
          <w:p>
            <w:pPr>
              <w:spacing w:before="71" w:line="281" w:lineRule="auto"/>
              <w:ind w:left="45" w:right="30" w:hanging="1"/>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事业</w:t>
            </w:r>
            <w:r>
              <w:rPr>
                <w:rFonts w:ascii="宋体" w:hAnsi="宋体" w:eastAsia="宋体" w:cs="宋体"/>
                <w:spacing w:val="-1"/>
                <w:sz w:val="22"/>
                <w:szCs w:val="22"/>
                <w14:textOutline w14:w="4013" w14:cap="sq" w14:cmpd="sng">
                  <w14:solidFill>
                    <w14:srgbClr w14:val="000000"/>
                  </w14:solidFill>
                  <w14:prstDash w14:val="solid"/>
                  <w14:bevel/>
                </w14:textOutline>
              </w:rPr>
              <w:t>单位</w:t>
            </w:r>
            <w:r>
              <w:rPr>
                <w:rFonts w:ascii="宋体" w:hAnsi="宋体" w:eastAsia="宋体" w:cs="宋体"/>
                <w:sz w:val="22"/>
                <w:szCs w:val="22"/>
              </w:rPr>
              <w:t xml:space="preserve"> </w:t>
            </w:r>
            <w:r>
              <w:rPr>
                <w:rFonts w:ascii="宋体" w:hAnsi="宋体" w:eastAsia="宋体" w:cs="宋体"/>
                <w:spacing w:val="-2"/>
                <w:sz w:val="22"/>
                <w:szCs w:val="22"/>
                <w14:textOutline w14:w="4013" w14:cap="sq" w14:cmpd="sng">
                  <w14:solidFill>
                    <w14:srgbClr w14:val="000000"/>
                  </w14:solidFill>
                  <w14:prstDash w14:val="solid"/>
                  <w14:bevel/>
                </w14:textOutline>
              </w:rPr>
              <w:t>经营收</w:t>
            </w:r>
            <w:r>
              <w:rPr>
                <w:rFonts w:ascii="宋体" w:hAnsi="宋体" w:eastAsia="宋体" w:cs="宋体"/>
                <w:spacing w:val="-1"/>
                <w:sz w:val="22"/>
                <w:szCs w:val="22"/>
                <w14:textOutline w14:w="4013" w14:cap="sq" w14:cmpd="sng">
                  <w14:solidFill>
                    <w14:srgbClr w14:val="000000"/>
                  </w14:solidFill>
                  <w14:prstDash w14:val="solid"/>
                  <w14:bevel/>
                </w14:textOutline>
              </w:rPr>
              <w:t>入</w:t>
            </w:r>
          </w:p>
        </w:tc>
        <w:tc>
          <w:tcPr>
            <w:tcW w:w="955" w:type="dxa"/>
            <w:vMerge w:val="restart"/>
            <w:tcBorders>
              <w:bottom w:val="nil"/>
            </w:tcBorders>
            <w:shd w:val="clear" w:color="auto" w:fill="EFF2F7"/>
            <w:vAlign w:val="top"/>
          </w:tcPr>
          <w:p>
            <w:pPr>
              <w:spacing w:line="294" w:lineRule="auto"/>
              <w:rPr>
                <w:rFonts w:ascii="Arial"/>
                <w:sz w:val="21"/>
              </w:rPr>
            </w:pPr>
          </w:p>
          <w:p>
            <w:pPr>
              <w:spacing w:line="294" w:lineRule="auto"/>
              <w:rPr>
                <w:rFonts w:ascii="Arial"/>
                <w:sz w:val="21"/>
              </w:rPr>
            </w:pPr>
          </w:p>
          <w:p>
            <w:pPr>
              <w:spacing w:before="72" w:line="221" w:lineRule="auto"/>
              <w:ind w:left="45"/>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其他收</w:t>
            </w:r>
            <w:r>
              <w:rPr>
                <w:rFonts w:ascii="宋体" w:hAnsi="宋体" w:eastAsia="宋体" w:cs="宋体"/>
                <w:spacing w:val="-1"/>
                <w:sz w:val="22"/>
                <w:szCs w:val="22"/>
                <w14:textOutline w14:w="4013" w14:cap="sq" w14:cmpd="sng">
                  <w14:solidFill>
                    <w14:srgbClr w14:val="000000"/>
                  </w14:solidFill>
                  <w14:prstDash w14:val="solid"/>
                  <w14:bevel/>
                </w14:textOutline>
              </w:rPr>
              <w:t>入</w:t>
            </w:r>
          </w:p>
        </w:tc>
        <w:tc>
          <w:tcPr>
            <w:tcW w:w="955" w:type="dxa"/>
            <w:vMerge w:val="restart"/>
            <w:tcBorders>
              <w:bottom w:val="nil"/>
            </w:tcBorders>
            <w:shd w:val="clear" w:color="auto" w:fill="EFF2F7"/>
            <w:vAlign w:val="top"/>
          </w:tcPr>
          <w:p>
            <w:pPr>
              <w:spacing w:line="429" w:lineRule="auto"/>
              <w:rPr>
                <w:rFonts w:ascii="Arial"/>
                <w:sz w:val="21"/>
              </w:rPr>
            </w:pPr>
          </w:p>
          <w:p>
            <w:pPr>
              <w:spacing w:before="71" w:line="281" w:lineRule="auto"/>
              <w:ind w:left="272" w:right="30" w:hanging="226"/>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上级补</w:t>
            </w:r>
            <w:r>
              <w:rPr>
                <w:rFonts w:ascii="宋体" w:hAnsi="宋体" w:eastAsia="宋体" w:cs="宋体"/>
                <w:spacing w:val="-1"/>
                <w:sz w:val="22"/>
                <w:szCs w:val="22"/>
                <w14:textOutline w14:w="4013" w14:cap="sq" w14:cmpd="sng">
                  <w14:solidFill>
                    <w14:srgbClr w14:val="000000"/>
                  </w14:solidFill>
                  <w14:prstDash w14:val="solid"/>
                  <w14:bevel/>
                </w14:textOutline>
              </w:rPr>
              <w:t>助</w:t>
            </w:r>
            <w:r>
              <w:rPr>
                <w:rFonts w:ascii="宋体" w:hAnsi="宋体" w:eastAsia="宋体" w:cs="宋体"/>
                <w:sz w:val="22"/>
                <w:szCs w:val="22"/>
              </w:rPr>
              <w:t xml:space="preserve"> </w:t>
            </w:r>
            <w:r>
              <w:rPr>
                <w:rFonts w:ascii="宋体" w:hAnsi="宋体" w:eastAsia="宋体" w:cs="宋体"/>
                <w:spacing w:val="-8"/>
                <w:sz w:val="22"/>
                <w:szCs w:val="22"/>
                <w14:textOutline w14:w="4013" w14:cap="sq" w14:cmpd="sng">
                  <w14:solidFill>
                    <w14:srgbClr w14:val="000000"/>
                  </w14:solidFill>
                  <w14:prstDash w14:val="solid"/>
                  <w14:bevel/>
                </w14:textOutline>
              </w:rPr>
              <w:t>收</w:t>
            </w:r>
            <w:r>
              <w:rPr>
                <w:rFonts w:ascii="宋体" w:hAnsi="宋体" w:eastAsia="宋体" w:cs="宋体"/>
                <w:spacing w:val="-7"/>
                <w:sz w:val="22"/>
                <w:szCs w:val="22"/>
                <w14:textOutline w14:w="4013" w14:cap="sq" w14:cmpd="sng">
                  <w14:solidFill>
                    <w14:srgbClr w14:val="000000"/>
                  </w14:solidFill>
                  <w14:prstDash w14:val="solid"/>
                  <w14:bevel/>
                </w14:textOutline>
              </w:rPr>
              <w:t>入</w:t>
            </w:r>
          </w:p>
        </w:tc>
        <w:tc>
          <w:tcPr>
            <w:tcW w:w="955" w:type="dxa"/>
            <w:vMerge w:val="restart"/>
            <w:tcBorders>
              <w:bottom w:val="nil"/>
            </w:tcBorders>
            <w:shd w:val="clear" w:color="auto" w:fill="EFF2F7"/>
            <w:vAlign w:val="top"/>
          </w:tcPr>
          <w:p>
            <w:pPr>
              <w:spacing w:line="429" w:lineRule="auto"/>
              <w:rPr>
                <w:rFonts w:ascii="Arial"/>
                <w:sz w:val="21"/>
              </w:rPr>
            </w:pPr>
          </w:p>
          <w:p>
            <w:pPr>
              <w:spacing w:before="71" w:line="281" w:lineRule="auto"/>
              <w:ind w:left="47" w:right="29" w:firstLine="15"/>
              <w:rPr>
                <w:rFonts w:ascii="宋体" w:hAnsi="宋体" w:eastAsia="宋体" w:cs="宋体"/>
                <w:sz w:val="22"/>
                <w:szCs w:val="22"/>
              </w:rPr>
            </w:pPr>
            <w:r>
              <w:rPr>
                <w:rFonts w:ascii="宋体" w:hAnsi="宋体" w:eastAsia="宋体" w:cs="宋体"/>
                <w:spacing w:val="-8"/>
                <w:sz w:val="22"/>
                <w:szCs w:val="22"/>
                <w14:textOutline w14:w="4013" w14:cap="sq" w14:cmpd="sng">
                  <w14:solidFill>
                    <w14:srgbClr w14:val="000000"/>
                  </w14:solidFill>
                  <w14:prstDash w14:val="solid"/>
                  <w14:bevel/>
                </w14:textOutline>
              </w:rPr>
              <w:t>附</w:t>
            </w:r>
            <w:r>
              <w:rPr>
                <w:rFonts w:ascii="宋体" w:hAnsi="宋体" w:eastAsia="宋体" w:cs="宋体"/>
                <w:spacing w:val="-5"/>
                <w:sz w:val="22"/>
                <w:szCs w:val="22"/>
                <w14:textOutline w14:w="4013" w14:cap="sq" w14:cmpd="sng">
                  <w14:solidFill>
                    <w14:srgbClr w14:val="000000"/>
                  </w14:solidFill>
                  <w14:prstDash w14:val="solid"/>
                  <w14:bevel/>
                </w14:textOutline>
              </w:rPr>
              <w:t>属单位</w:t>
            </w:r>
            <w:r>
              <w:rPr>
                <w:rFonts w:ascii="宋体" w:hAnsi="宋体" w:eastAsia="宋体" w:cs="宋体"/>
                <w:sz w:val="22"/>
                <w:szCs w:val="22"/>
              </w:rPr>
              <w:t xml:space="preserve"> </w:t>
            </w:r>
            <w:r>
              <w:rPr>
                <w:rFonts w:ascii="宋体" w:hAnsi="宋体" w:eastAsia="宋体" w:cs="宋体"/>
                <w:spacing w:val="-2"/>
                <w:sz w:val="22"/>
                <w:szCs w:val="22"/>
                <w14:textOutline w14:w="4013" w14:cap="sq" w14:cmpd="sng">
                  <w14:solidFill>
                    <w14:srgbClr w14:val="000000"/>
                  </w14:solidFill>
                  <w14:prstDash w14:val="solid"/>
                  <w14:bevel/>
                </w14:textOutline>
              </w:rPr>
              <w:t>上缴收</w:t>
            </w:r>
            <w:r>
              <w:rPr>
                <w:rFonts w:ascii="宋体" w:hAnsi="宋体" w:eastAsia="宋体" w:cs="宋体"/>
                <w:spacing w:val="-1"/>
                <w:sz w:val="22"/>
                <w:szCs w:val="22"/>
                <w14:textOutline w14:w="4013" w14:cap="sq" w14:cmpd="sng">
                  <w14:solidFill>
                    <w14:srgbClr w14:val="000000"/>
                  </w14:solidFill>
                  <w14:prstDash w14:val="solid"/>
                  <w14:bevel/>
                </w14:textOutline>
              </w:rPr>
              <w:t>入</w:t>
            </w:r>
          </w:p>
        </w:tc>
        <w:tc>
          <w:tcPr>
            <w:tcW w:w="951" w:type="dxa"/>
            <w:vMerge w:val="restart"/>
            <w:tcBorders>
              <w:bottom w:val="nil"/>
            </w:tcBorders>
            <w:shd w:val="clear" w:color="auto" w:fill="EFF2F7"/>
            <w:vAlign w:val="top"/>
          </w:tcPr>
          <w:p>
            <w:pPr>
              <w:spacing w:line="270" w:lineRule="auto"/>
              <w:rPr>
                <w:rFonts w:ascii="Arial"/>
                <w:sz w:val="21"/>
              </w:rPr>
            </w:pPr>
          </w:p>
          <w:p>
            <w:pPr>
              <w:spacing w:before="72" w:line="222" w:lineRule="auto"/>
              <w:ind w:left="42"/>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用事业</w:t>
            </w:r>
            <w:r>
              <w:rPr>
                <w:rFonts w:ascii="宋体" w:hAnsi="宋体" w:eastAsia="宋体" w:cs="宋体"/>
                <w:spacing w:val="-1"/>
                <w:sz w:val="22"/>
                <w:szCs w:val="22"/>
                <w14:textOutline w14:w="4013" w14:cap="sq" w14:cmpd="sng">
                  <w14:solidFill>
                    <w14:srgbClr w14:val="000000"/>
                  </w14:solidFill>
                  <w14:prstDash w14:val="solid"/>
                  <w14:bevel/>
                </w14:textOutline>
              </w:rPr>
              <w:t>基</w:t>
            </w:r>
          </w:p>
          <w:p>
            <w:pPr>
              <w:spacing w:before="54" w:line="221" w:lineRule="auto"/>
              <w:ind w:left="42"/>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金弥补</w:t>
            </w:r>
            <w:r>
              <w:rPr>
                <w:rFonts w:ascii="宋体" w:hAnsi="宋体" w:eastAsia="宋体" w:cs="宋体"/>
                <w:spacing w:val="-1"/>
                <w:sz w:val="22"/>
                <w:szCs w:val="22"/>
                <w14:textOutline w14:w="4013" w14:cap="sq" w14:cmpd="sng">
                  <w14:solidFill>
                    <w14:srgbClr w14:val="000000"/>
                  </w14:solidFill>
                  <w14:prstDash w14:val="solid"/>
                  <w14:bevel/>
                </w14:textOutline>
              </w:rPr>
              <w:t>收</w:t>
            </w:r>
          </w:p>
          <w:p>
            <w:pPr>
              <w:spacing w:before="55" w:line="221" w:lineRule="auto"/>
              <w:ind w:left="152"/>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支</w:t>
            </w:r>
            <w:r>
              <w:rPr>
                <w:rFonts w:ascii="宋体" w:hAnsi="宋体" w:eastAsia="宋体" w:cs="宋体"/>
                <w:spacing w:val="-2"/>
                <w:sz w:val="22"/>
                <w:szCs w:val="22"/>
                <w14:textOutline w14:w="4013" w14:cap="sq" w14:cmpd="sng">
                  <w14:solidFill>
                    <w14:srgbClr w14:val="000000"/>
                  </w14:solidFill>
                  <w14:prstDash w14:val="solid"/>
                  <w14:bevel/>
                </w14:textOutline>
              </w:rPr>
              <w:t>差额</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1020" w:hRule="atLeast"/>
        </w:trPr>
        <w:tc>
          <w:tcPr>
            <w:tcW w:w="981" w:type="dxa"/>
            <w:shd w:val="clear" w:color="auto" w:fill="EFF2F7"/>
            <w:vAlign w:val="top"/>
          </w:tcPr>
          <w:p>
            <w:pPr>
              <w:spacing w:line="334" w:lineRule="auto"/>
              <w:rPr>
                <w:rFonts w:ascii="Arial"/>
                <w:sz w:val="21"/>
              </w:rPr>
            </w:pPr>
          </w:p>
          <w:p>
            <w:pPr>
              <w:spacing w:before="72" w:line="221" w:lineRule="auto"/>
              <w:ind w:left="58"/>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单位代</w:t>
            </w:r>
            <w:r>
              <w:rPr>
                <w:rFonts w:ascii="宋体" w:hAnsi="宋体" w:eastAsia="宋体" w:cs="宋体"/>
                <w:spacing w:val="-1"/>
                <w:sz w:val="22"/>
                <w:szCs w:val="22"/>
                <w14:textOutline w14:w="4013" w14:cap="sq" w14:cmpd="sng">
                  <w14:solidFill>
                    <w14:srgbClr w14:val="000000"/>
                  </w14:solidFill>
                  <w14:prstDash w14:val="solid"/>
                  <w14:bevel/>
                </w14:textOutline>
              </w:rPr>
              <w:t>码</w:t>
            </w:r>
          </w:p>
        </w:tc>
        <w:tc>
          <w:tcPr>
            <w:tcW w:w="2383" w:type="dxa"/>
            <w:shd w:val="clear" w:color="auto" w:fill="EFF2F7"/>
            <w:vAlign w:val="top"/>
          </w:tcPr>
          <w:p>
            <w:pPr>
              <w:spacing w:line="335" w:lineRule="auto"/>
              <w:rPr>
                <w:rFonts w:ascii="Arial"/>
                <w:sz w:val="21"/>
              </w:rPr>
            </w:pPr>
          </w:p>
          <w:p>
            <w:pPr>
              <w:spacing w:before="71" w:line="220" w:lineRule="auto"/>
              <w:ind w:left="124"/>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单位名称</w:t>
            </w:r>
            <w:r>
              <w:rPr>
                <w:rFonts w:ascii="宋体" w:hAnsi="宋体" w:eastAsia="宋体" w:cs="宋体"/>
                <w:spacing w:val="-1"/>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(科目)</w:t>
            </w:r>
          </w:p>
        </w:tc>
        <w:tc>
          <w:tcPr>
            <w:tcW w:w="1217" w:type="dxa"/>
            <w:vMerge w:val="continue"/>
            <w:tcBorders>
              <w:top w:val="nil"/>
            </w:tcBorders>
            <w:vAlign w:val="top"/>
          </w:tcPr>
          <w:p>
            <w:pPr>
              <w:rPr>
                <w:rFonts w:ascii="Arial"/>
                <w:sz w:val="21"/>
              </w:rPr>
            </w:pPr>
          </w:p>
        </w:tc>
        <w:tc>
          <w:tcPr>
            <w:tcW w:w="1050" w:type="dxa"/>
            <w:vMerge w:val="continue"/>
            <w:tcBorders>
              <w:top w:val="nil"/>
            </w:tcBorders>
            <w:vAlign w:val="top"/>
          </w:tcPr>
          <w:p>
            <w:pPr>
              <w:rPr>
                <w:rFonts w:ascii="Arial"/>
                <w:sz w:val="21"/>
              </w:rPr>
            </w:pPr>
          </w:p>
        </w:tc>
        <w:tc>
          <w:tcPr>
            <w:tcW w:w="900" w:type="dxa"/>
            <w:vMerge w:val="continue"/>
            <w:tcBorders>
              <w:top w:val="nil"/>
            </w:tcBorders>
            <w:vAlign w:val="top"/>
          </w:tcPr>
          <w:p>
            <w:pPr>
              <w:rPr>
                <w:rFonts w:ascii="Arial"/>
                <w:sz w:val="21"/>
              </w:rPr>
            </w:pPr>
          </w:p>
        </w:tc>
        <w:tc>
          <w:tcPr>
            <w:tcW w:w="983" w:type="dxa"/>
            <w:vMerge w:val="continue"/>
            <w:tcBorders>
              <w:top w:val="nil"/>
            </w:tcBorders>
            <w:vAlign w:val="top"/>
          </w:tcPr>
          <w:p>
            <w:pPr>
              <w:rPr>
                <w:rFonts w:ascii="Arial"/>
                <w:sz w:val="21"/>
              </w:rPr>
            </w:pPr>
          </w:p>
        </w:tc>
        <w:tc>
          <w:tcPr>
            <w:tcW w:w="753" w:type="dxa"/>
            <w:vMerge w:val="continue"/>
            <w:tcBorders>
              <w:top w:val="nil"/>
            </w:tcBorders>
            <w:vAlign w:val="top"/>
          </w:tcPr>
          <w:p>
            <w:pPr>
              <w:rPr>
                <w:rFonts w:ascii="Arial"/>
                <w:sz w:val="21"/>
              </w:rPr>
            </w:pPr>
          </w:p>
        </w:tc>
        <w:tc>
          <w:tcPr>
            <w:tcW w:w="954" w:type="dxa"/>
            <w:vMerge w:val="continue"/>
            <w:tcBorders>
              <w:top w:val="nil"/>
            </w:tcBorders>
            <w:vAlign w:val="top"/>
          </w:tcPr>
          <w:p>
            <w:pPr>
              <w:rPr>
                <w:rFonts w:ascii="Arial"/>
                <w:sz w:val="21"/>
              </w:rPr>
            </w:pPr>
          </w:p>
        </w:tc>
        <w:tc>
          <w:tcPr>
            <w:tcW w:w="955" w:type="dxa"/>
            <w:vMerge w:val="continue"/>
            <w:tcBorders>
              <w:top w:val="nil"/>
            </w:tcBorders>
            <w:vAlign w:val="top"/>
          </w:tcPr>
          <w:p>
            <w:pPr>
              <w:rPr>
                <w:rFonts w:ascii="Arial"/>
                <w:sz w:val="21"/>
              </w:rPr>
            </w:pPr>
          </w:p>
        </w:tc>
        <w:tc>
          <w:tcPr>
            <w:tcW w:w="955" w:type="dxa"/>
            <w:vMerge w:val="continue"/>
            <w:tcBorders>
              <w:top w:val="nil"/>
            </w:tcBorders>
            <w:vAlign w:val="top"/>
          </w:tcPr>
          <w:p>
            <w:pPr>
              <w:rPr>
                <w:rFonts w:ascii="Arial"/>
                <w:sz w:val="21"/>
              </w:rPr>
            </w:pPr>
          </w:p>
        </w:tc>
        <w:tc>
          <w:tcPr>
            <w:tcW w:w="955" w:type="dxa"/>
            <w:vMerge w:val="continue"/>
            <w:tcBorders>
              <w:top w:val="nil"/>
            </w:tcBorders>
            <w:vAlign w:val="top"/>
          </w:tcPr>
          <w:p>
            <w:pPr>
              <w:rPr>
                <w:rFonts w:ascii="Arial"/>
                <w:sz w:val="21"/>
              </w:rPr>
            </w:pPr>
          </w:p>
        </w:tc>
        <w:tc>
          <w:tcPr>
            <w:tcW w:w="955" w:type="dxa"/>
            <w:vMerge w:val="continue"/>
            <w:tcBorders>
              <w:top w:val="nil"/>
            </w:tcBorders>
            <w:vAlign w:val="top"/>
          </w:tcPr>
          <w:p>
            <w:pPr>
              <w:rPr>
                <w:rFonts w:ascii="Arial"/>
                <w:sz w:val="21"/>
              </w:rPr>
            </w:pPr>
          </w:p>
        </w:tc>
        <w:tc>
          <w:tcPr>
            <w:tcW w:w="951" w:type="dxa"/>
            <w:vMerge w:val="continue"/>
            <w:tcBorders>
              <w:top w:val="nil"/>
            </w:tcBorders>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75" w:hRule="atLeast"/>
        </w:trPr>
        <w:tc>
          <w:tcPr>
            <w:tcW w:w="981" w:type="dxa"/>
            <w:vAlign w:val="top"/>
          </w:tcPr>
          <w:p>
            <w:pPr>
              <w:rPr>
                <w:rFonts w:ascii="Arial"/>
                <w:sz w:val="21"/>
              </w:rPr>
            </w:pPr>
          </w:p>
        </w:tc>
        <w:tc>
          <w:tcPr>
            <w:tcW w:w="2383" w:type="dxa"/>
            <w:vAlign w:val="top"/>
          </w:tcPr>
          <w:p>
            <w:pPr>
              <w:spacing w:before="137" w:line="222" w:lineRule="auto"/>
              <w:ind w:left="562"/>
              <w:rPr>
                <w:rFonts w:ascii="宋体" w:hAnsi="宋体" w:eastAsia="宋体" w:cs="宋体"/>
                <w:sz w:val="22"/>
                <w:szCs w:val="22"/>
              </w:rPr>
            </w:pPr>
          </w:p>
        </w:tc>
        <w:tc>
          <w:tcPr>
            <w:tcW w:w="121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b/>
                <w:i w:val="0"/>
                <w:color w:val="000000"/>
                <w:spacing w:val="0"/>
                <w:w w:val="100"/>
                <w:position w:val="0"/>
                <w:sz w:val="22"/>
                <w:szCs w:val="22"/>
                <w:u w:val="none"/>
                <w:shd w:val="clear" w:color="auto" w:fill="auto"/>
                <w:lang w:val="en-US" w:eastAsia="en-US" w:bidi="en-US"/>
              </w:rPr>
            </w:pPr>
            <w:r>
              <w:rPr>
                <w:rFonts w:hint="eastAsia" w:ascii="宋体" w:hAnsi="宋体" w:eastAsia="宋体" w:cs="宋体"/>
                <w:b/>
                <w:i w:val="0"/>
                <w:color w:val="000000"/>
                <w:spacing w:val="0"/>
                <w:w w:val="100"/>
                <w:kern w:val="0"/>
                <w:position w:val="0"/>
                <w:sz w:val="22"/>
                <w:szCs w:val="22"/>
                <w:u w:val="none"/>
                <w:shd w:val="clear" w:color="auto" w:fill="auto"/>
                <w:lang w:val="en-US" w:eastAsia="zh-CN" w:bidi="ar"/>
              </w:rPr>
              <w:t>3,507.69</w:t>
            </w:r>
          </w:p>
        </w:tc>
        <w:tc>
          <w:tcPr>
            <w:tcW w:w="105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b/>
                <w:i w:val="0"/>
                <w:color w:val="000000"/>
                <w:spacing w:val="0"/>
                <w:w w:val="100"/>
                <w:position w:val="0"/>
                <w:sz w:val="22"/>
                <w:szCs w:val="22"/>
                <w:u w:val="none"/>
                <w:shd w:val="clear" w:color="auto" w:fill="auto"/>
                <w:lang w:val="en-US" w:eastAsia="en-US" w:bidi="en-US"/>
              </w:rPr>
            </w:pPr>
            <w:r>
              <w:rPr>
                <w:rFonts w:hint="eastAsia" w:ascii="宋体" w:hAnsi="宋体" w:eastAsia="宋体" w:cs="宋体"/>
                <w:b/>
                <w:i w:val="0"/>
                <w:color w:val="000000"/>
                <w:spacing w:val="0"/>
                <w:w w:val="100"/>
                <w:kern w:val="0"/>
                <w:position w:val="0"/>
                <w:sz w:val="22"/>
                <w:szCs w:val="22"/>
                <w:u w:val="none"/>
                <w:shd w:val="clear" w:color="auto" w:fill="auto"/>
                <w:lang w:val="en-US" w:eastAsia="zh-CN" w:bidi="ar"/>
              </w:rPr>
              <w:t>1,130.13</w:t>
            </w:r>
          </w:p>
        </w:tc>
        <w:tc>
          <w:tcPr>
            <w:tcW w:w="90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b/>
                <w:i w:val="0"/>
                <w:color w:val="000000"/>
                <w:spacing w:val="0"/>
                <w:w w:val="100"/>
                <w:position w:val="0"/>
                <w:sz w:val="22"/>
                <w:szCs w:val="22"/>
                <w:u w:val="none"/>
                <w:shd w:val="clear" w:color="auto" w:fill="auto"/>
                <w:lang w:val="en-US" w:eastAsia="en-US" w:bidi="en-US"/>
              </w:rPr>
            </w:pPr>
            <w:r>
              <w:rPr>
                <w:rFonts w:hint="eastAsia" w:ascii="宋体" w:hAnsi="宋体" w:eastAsia="宋体" w:cs="宋体"/>
                <w:b/>
                <w:i w:val="0"/>
                <w:color w:val="000000"/>
                <w:spacing w:val="0"/>
                <w:w w:val="100"/>
                <w:kern w:val="0"/>
                <w:position w:val="0"/>
                <w:sz w:val="22"/>
                <w:szCs w:val="22"/>
                <w:u w:val="none"/>
                <w:shd w:val="clear" w:color="auto" w:fill="auto"/>
                <w:lang w:val="en-US" w:eastAsia="zh-CN" w:bidi="ar"/>
              </w:rPr>
              <w:t>2,377.56</w:t>
            </w:r>
          </w:p>
        </w:tc>
        <w:tc>
          <w:tcPr>
            <w:tcW w:w="983" w:type="dxa"/>
            <w:vAlign w:val="top"/>
          </w:tcPr>
          <w:p>
            <w:pPr>
              <w:rPr>
                <w:rFonts w:ascii="Arial"/>
                <w:sz w:val="21"/>
              </w:rPr>
            </w:pPr>
          </w:p>
        </w:tc>
        <w:tc>
          <w:tcPr>
            <w:tcW w:w="753" w:type="dxa"/>
            <w:vAlign w:val="top"/>
          </w:tcPr>
          <w:p>
            <w:pPr>
              <w:rPr>
                <w:rFonts w:ascii="Arial"/>
                <w:sz w:val="21"/>
              </w:rPr>
            </w:pPr>
          </w:p>
        </w:tc>
        <w:tc>
          <w:tcPr>
            <w:tcW w:w="954"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80" w:hRule="atLeast"/>
        </w:trPr>
        <w:tc>
          <w:tcPr>
            <w:tcW w:w="981" w:type="dxa"/>
            <w:vAlign w:val="top"/>
          </w:tcPr>
          <w:p>
            <w:pPr>
              <w:spacing w:before="171" w:line="186" w:lineRule="auto"/>
              <w:ind w:left="27"/>
              <w:rPr>
                <w:rFonts w:ascii="宋体" w:hAnsi="宋体" w:eastAsia="宋体" w:cs="宋体"/>
                <w:sz w:val="22"/>
                <w:szCs w:val="22"/>
              </w:rPr>
            </w:pPr>
          </w:p>
        </w:tc>
        <w:tc>
          <w:tcPr>
            <w:tcW w:w="2383" w:type="dxa"/>
            <w:vAlign w:val="top"/>
          </w:tcPr>
          <w:p>
            <w:pPr>
              <w:spacing w:before="137" w:line="220" w:lineRule="auto"/>
              <w:ind w:left="39"/>
              <w:rPr>
                <w:rFonts w:ascii="宋体" w:hAnsi="宋体" w:eastAsia="宋体" w:cs="宋体"/>
                <w:sz w:val="22"/>
                <w:szCs w:val="22"/>
              </w:rPr>
            </w:pPr>
          </w:p>
        </w:tc>
        <w:tc>
          <w:tcPr>
            <w:tcW w:w="121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3,507.69</w:t>
            </w:r>
          </w:p>
        </w:tc>
        <w:tc>
          <w:tcPr>
            <w:tcW w:w="105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1,130.13</w:t>
            </w:r>
          </w:p>
        </w:tc>
        <w:tc>
          <w:tcPr>
            <w:tcW w:w="90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2,377.56</w:t>
            </w:r>
          </w:p>
        </w:tc>
        <w:tc>
          <w:tcPr>
            <w:tcW w:w="983" w:type="dxa"/>
            <w:vAlign w:val="top"/>
          </w:tcPr>
          <w:p>
            <w:pPr>
              <w:rPr>
                <w:rFonts w:ascii="Arial"/>
                <w:sz w:val="21"/>
              </w:rPr>
            </w:pPr>
          </w:p>
        </w:tc>
        <w:tc>
          <w:tcPr>
            <w:tcW w:w="753" w:type="dxa"/>
            <w:vAlign w:val="top"/>
          </w:tcPr>
          <w:p>
            <w:pPr>
              <w:rPr>
                <w:rFonts w:ascii="Arial"/>
                <w:sz w:val="21"/>
              </w:rPr>
            </w:pPr>
          </w:p>
        </w:tc>
        <w:tc>
          <w:tcPr>
            <w:tcW w:w="954"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80" w:hRule="atLeast"/>
        </w:trPr>
        <w:tc>
          <w:tcPr>
            <w:tcW w:w="98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2383" w:type="dxa"/>
            <w:vAlign w:val="top"/>
          </w:tcPr>
          <w:p>
            <w:pPr>
              <w:spacing w:before="137" w:line="220" w:lineRule="auto"/>
              <w:ind w:left="39"/>
              <w:rPr>
                <w:rFonts w:ascii="宋体" w:hAnsi="宋体" w:eastAsia="宋体" w:cs="宋体"/>
                <w:sz w:val="22"/>
                <w:szCs w:val="22"/>
              </w:rPr>
            </w:pPr>
            <w:r>
              <w:rPr>
                <w:rFonts w:hint="eastAsia" w:ascii="宋体" w:hAnsi="宋体" w:eastAsia="宋体" w:cs="宋体"/>
                <w:sz w:val="22"/>
                <w:szCs w:val="22"/>
              </w:rPr>
              <w:t>夹江县交通运输局机关</w:t>
            </w:r>
          </w:p>
        </w:tc>
        <w:tc>
          <w:tcPr>
            <w:tcW w:w="121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1,530.20</w:t>
            </w:r>
          </w:p>
        </w:tc>
        <w:tc>
          <w:tcPr>
            <w:tcW w:w="105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1,121.92</w:t>
            </w:r>
          </w:p>
        </w:tc>
        <w:tc>
          <w:tcPr>
            <w:tcW w:w="90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408.28</w:t>
            </w:r>
          </w:p>
        </w:tc>
        <w:tc>
          <w:tcPr>
            <w:tcW w:w="983" w:type="dxa"/>
            <w:vAlign w:val="top"/>
          </w:tcPr>
          <w:p>
            <w:pPr>
              <w:rPr>
                <w:rFonts w:ascii="Arial"/>
                <w:sz w:val="21"/>
              </w:rPr>
            </w:pPr>
          </w:p>
        </w:tc>
        <w:tc>
          <w:tcPr>
            <w:tcW w:w="753" w:type="dxa"/>
            <w:vAlign w:val="top"/>
          </w:tcPr>
          <w:p>
            <w:pPr>
              <w:rPr>
                <w:rFonts w:ascii="Arial"/>
                <w:sz w:val="21"/>
              </w:rPr>
            </w:pPr>
          </w:p>
        </w:tc>
        <w:tc>
          <w:tcPr>
            <w:tcW w:w="954"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80" w:hRule="atLeast"/>
        </w:trPr>
        <w:tc>
          <w:tcPr>
            <w:tcW w:w="981" w:type="dxa"/>
            <w:vAlign w:val="top"/>
          </w:tcPr>
          <w:p>
            <w:pPr>
              <w:spacing w:before="171" w:line="186" w:lineRule="auto"/>
              <w:ind w:left="27"/>
              <w:rPr>
                <w:rFonts w:ascii="宋体" w:hAnsi="宋体" w:eastAsia="宋体" w:cs="宋体"/>
                <w:sz w:val="22"/>
                <w:szCs w:val="22"/>
              </w:rPr>
            </w:pPr>
            <w:r>
              <w:rPr>
                <w:rFonts w:hint="eastAsia" w:ascii="宋体" w:hAnsi="宋体" w:eastAsia="宋体" w:cs="宋体"/>
                <w:sz w:val="22"/>
                <w:szCs w:val="22"/>
              </w:rPr>
              <w:t>512002</w:t>
            </w:r>
          </w:p>
        </w:tc>
        <w:tc>
          <w:tcPr>
            <w:tcW w:w="2383" w:type="dxa"/>
            <w:vAlign w:val="top"/>
          </w:tcPr>
          <w:p>
            <w:pPr>
              <w:spacing w:before="137" w:line="220" w:lineRule="auto"/>
              <w:ind w:left="39"/>
              <w:rPr>
                <w:rFonts w:ascii="宋体" w:hAnsi="宋体" w:eastAsia="宋体" w:cs="宋体"/>
                <w:sz w:val="22"/>
                <w:szCs w:val="22"/>
              </w:rPr>
            </w:pPr>
            <w:r>
              <w:rPr>
                <w:rFonts w:hint="eastAsia" w:ascii="宋体" w:hAnsi="宋体" w:eastAsia="宋体" w:cs="宋体"/>
                <w:sz w:val="22"/>
                <w:szCs w:val="22"/>
              </w:rPr>
              <w:t>夹江县公路建设服务中心</w:t>
            </w:r>
          </w:p>
        </w:tc>
        <w:tc>
          <w:tcPr>
            <w:tcW w:w="121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852.44</w:t>
            </w:r>
          </w:p>
        </w:tc>
        <w:tc>
          <w:tcPr>
            <w:tcW w:w="105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8.21</w:t>
            </w:r>
          </w:p>
        </w:tc>
        <w:tc>
          <w:tcPr>
            <w:tcW w:w="90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844.23</w:t>
            </w:r>
          </w:p>
        </w:tc>
        <w:tc>
          <w:tcPr>
            <w:tcW w:w="983" w:type="dxa"/>
            <w:vAlign w:val="top"/>
          </w:tcPr>
          <w:p>
            <w:pPr>
              <w:rPr>
                <w:rFonts w:ascii="Arial"/>
                <w:sz w:val="21"/>
              </w:rPr>
            </w:pPr>
          </w:p>
        </w:tc>
        <w:tc>
          <w:tcPr>
            <w:tcW w:w="753" w:type="dxa"/>
            <w:vAlign w:val="top"/>
          </w:tcPr>
          <w:p>
            <w:pPr>
              <w:rPr>
                <w:rFonts w:ascii="Arial"/>
                <w:sz w:val="21"/>
              </w:rPr>
            </w:pPr>
          </w:p>
        </w:tc>
        <w:tc>
          <w:tcPr>
            <w:tcW w:w="954"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91" w:hRule="atLeast"/>
        </w:trPr>
        <w:tc>
          <w:tcPr>
            <w:tcW w:w="98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512003</w:t>
            </w:r>
          </w:p>
        </w:tc>
        <w:tc>
          <w:tcPr>
            <w:tcW w:w="2383" w:type="dxa"/>
            <w:vAlign w:val="top"/>
          </w:tcPr>
          <w:p>
            <w:pPr>
              <w:spacing w:before="137" w:line="220" w:lineRule="auto"/>
              <w:ind w:left="39"/>
              <w:rPr>
                <w:rFonts w:ascii="宋体" w:hAnsi="宋体" w:eastAsia="宋体" w:cs="宋体"/>
                <w:sz w:val="22"/>
                <w:szCs w:val="22"/>
              </w:rPr>
            </w:pPr>
            <w:r>
              <w:rPr>
                <w:rFonts w:hint="eastAsia" w:ascii="宋体" w:hAnsi="宋体" w:eastAsia="宋体" w:cs="宋体"/>
                <w:sz w:val="22"/>
                <w:szCs w:val="22"/>
              </w:rPr>
              <w:t>夹江县运输中心</w:t>
            </w:r>
          </w:p>
        </w:tc>
        <w:tc>
          <w:tcPr>
            <w:tcW w:w="1217" w:type="dxa"/>
            <w:vAlign w:val="center"/>
          </w:tcPr>
          <w:p>
            <w:pPr>
              <w:keepNext w:val="0"/>
              <w:keepLines w:val="0"/>
              <w:widowControl/>
              <w:suppressLineNumbers w:val="0"/>
              <w:tabs>
                <w:tab w:val="left" w:pos="498"/>
              </w:tabs>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ab/>
              <w:t>275.78</w:t>
            </w:r>
          </w:p>
        </w:tc>
        <w:tc>
          <w:tcPr>
            <w:tcW w:w="105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0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275.78</w:t>
            </w:r>
          </w:p>
        </w:tc>
        <w:tc>
          <w:tcPr>
            <w:tcW w:w="983" w:type="dxa"/>
            <w:vAlign w:val="top"/>
          </w:tcPr>
          <w:p>
            <w:pPr>
              <w:rPr>
                <w:rFonts w:ascii="Arial"/>
                <w:sz w:val="21"/>
              </w:rPr>
            </w:pPr>
          </w:p>
        </w:tc>
        <w:tc>
          <w:tcPr>
            <w:tcW w:w="753" w:type="dxa"/>
            <w:vAlign w:val="top"/>
          </w:tcPr>
          <w:p>
            <w:pPr>
              <w:rPr>
                <w:rFonts w:ascii="Arial"/>
                <w:sz w:val="21"/>
              </w:rPr>
            </w:pPr>
          </w:p>
        </w:tc>
        <w:tc>
          <w:tcPr>
            <w:tcW w:w="954"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80" w:hRule="atLeast"/>
        </w:trPr>
        <w:tc>
          <w:tcPr>
            <w:tcW w:w="98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512004</w:t>
            </w:r>
          </w:p>
        </w:tc>
        <w:tc>
          <w:tcPr>
            <w:tcW w:w="2383" w:type="dxa"/>
            <w:vAlign w:val="top"/>
          </w:tcPr>
          <w:p>
            <w:pPr>
              <w:spacing w:before="137" w:line="220" w:lineRule="auto"/>
              <w:ind w:left="39"/>
              <w:rPr>
                <w:rFonts w:ascii="宋体" w:hAnsi="宋体" w:eastAsia="宋体" w:cs="宋体"/>
                <w:sz w:val="22"/>
                <w:szCs w:val="22"/>
              </w:rPr>
            </w:pPr>
            <w:r>
              <w:rPr>
                <w:rFonts w:hint="eastAsia" w:ascii="宋体" w:hAnsi="宋体" w:eastAsia="宋体" w:cs="宋体"/>
                <w:sz w:val="22"/>
                <w:szCs w:val="22"/>
              </w:rPr>
              <w:t>夹江县交通运输综合行政执法大队</w:t>
            </w:r>
          </w:p>
        </w:tc>
        <w:tc>
          <w:tcPr>
            <w:tcW w:w="121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376.46</w:t>
            </w:r>
          </w:p>
        </w:tc>
        <w:tc>
          <w:tcPr>
            <w:tcW w:w="105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0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376.46</w:t>
            </w:r>
          </w:p>
        </w:tc>
        <w:tc>
          <w:tcPr>
            <w:tcW w:w="983" w:type="dxa"/>
            <w:vAlign w:val="top"/>
          </w:tcPr>
          <w:p>
            <w:pPr>
              <w:rPr>
                <w:rFonts w:ascii="Arial"/>
                <w:sz w:val="21"/>
              </w:rPr>
            </w:pPr>
          </w:p>
        </w:tc>
        <w:tc>
          <w:tcPr>
            <w:tcW w:w="753" w:type="dxa"/>
            <w:vAlign w:val="top"/>
          </w:tcPr>
          <w:p>
            <w:pPr>
              <w:rPr>
                <w:rFonts w:ascii="Arial"/>
                <w:sz w:val="21"/>
              </w:rPr>
            </w:pPr>
          </w:p>
        </w:tc>
        <w:tc>
          <w:tcPr>
            <w:tcW w:w="954"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08" w:hRule="atLeast"/>
        </w:trPr>
        <w:tc>
          <w:tcPr>
            <w:tcW w:w="98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512007</w:t>
            </w:r>
          </w:p>
        </w:tc>
        <w:tc>
          <w:tcPr>
            <w:tcW w:w="2383" w:type="dxa"/>
            <w:vAlign w:val="top"/>
          </w:tcPr>
          <w:p>
            <w:pPr>
              <w:spacing w:before="137" w:line="220" w:lineRule="auto"/>
              <w:ind w:left="39"/>
              <w:rPr>
                <w:rFonts w:ascii="宋体" w:hAnsi="宋体" w:eastAsia="宋体" w:cs="宋体"/>
                <w:sz w:val="22"/>
                <w:szCs w:val="22"/>
              </w:rPr>
            </w:pPr>
            <w:r>
              <w:rPr>
                <w:rFonts w:hint="eastAsia" w:ascii="宋体" w:hAnsi="宋体" w:eastAsia="宋体" w:cs="宋体"/>
                <w:sz w:val="22"/>
                <w:szCs w:val="22"/>
              </w:rPr>
              <w:t>夹江县港航中心</w:t>
            </w:r>
          </w:p>
        </w:tc>
        <w:tc>
          <w:tcPr>
            <w:tcW w:w="121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61.53</w:t>
            </w:r>
          </w:p>
        </w:tc>
        <w:tc>
          <w:tcPr>
            <w:tcW w:w="105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0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61.53</w:t>
            </w:r>
          </w:p>
        </w:tc>
        <w:tc>
          <w:tcPr>
            <w:tcW w:w="983" w:type="dxa"/>
            <w:vAlign w:val="top"/>
          </w:tcPr>
          <w:p>
            <w:pPr>
              <w:rPr>
                <w:rFonts w:ascii="Arial"/>
                <w:sz w:val="21"/>
              </w:rPr>
            </w:pPr>
          </w:p>
        </w:tc>
        <w:tc>
          <w:tcPr>
            <w:tcW w:w="753" w:type="dxa"/>
            <w:vAlign w:val="top"/>
          </w:tcPr>
          <w:p>
            <w:pPr>
              <w:rPr>
                <w:rFonts w:ascii="Arial"/>
                <w:sz w:val="21"/>
              </w:rPr>
            </w:pPr>
          </w:p>
        </w:tc>
        <w:tc>
          <w:tcPr>
            <w:tcW w:w="954"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80" w:hRule="atLeast"/>
        </w:trPr>
        <w:tc>
          <w:tcPr>
            <w:tcW w:w="98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512101</w:t>
            </w:r>
          </w:p>
        </w:tc>
        <w:tc>
          <w:tcPr>
            <w:tcW w:w="2383" w:type="dxa"/>
            <w:vAlign w:val="top"/>
          </w:tcPr>
          <w:p>
            <w:pPr>
              <w:spacing w:before="137" w:line="220" w:lineRule="auto"/>
              <w:ind w:left="39"/>
              <w:rPr>
                <w:rFonts w:ascii="宋体" w:hAnsi="宋体" w:eastAsia="宋体" w:cs="宋体"/>
                <w:sz w:val="22"/>
                <w:szCs w:val="22"/>
              </w:rPr>
            </w:pPr>
            <w:r>
              <w:rPr>
                <w:rFonts w:hint="eastAsia" w:ascii="宋体" w:hAnsi="宋体" w:eastAsia="宋体" w:cs="宋体"/>
                <w:sz w:val="22"/>
                <w:szCs w:val="22"/>
              </w:rPr>
              <w:t>漹城交通站</w:t>
            </w:r>
          </w:p>
        </w:tc>
        <w:tc>
          <w:tcPr>
            <w:tcW w:w="121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31.90</w:t>
            </w:r>
          </w:p>
        </w:tc>
        <w:tc>
          <w:tcPr>
            <w:tcW w:w="105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0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31.90</w:t>
            </w:r>
          </w:p>
        </w:tc>
        <w:tc>
          <w:tcPr>
            <w:tcW w:w="983" w:type="dxa"/>
            <w:vAlign w:val="top"/>
          </w:tcPr>
          <w:p>
            <w:pPr>
              <w:rPr>
                <w:rFonts w:ascii="Arial"/>
                <w:sz w:val="21"/>
              </w:rPr>
            </w:pPr>
          </w:p>
        </w:tc>
        <w:tc>
          <w:tcPr>
            <w:tcW w:w="753" w:type="dxa"/>
            <w:vAlign w:val="top"/>
          </w:tcPr>
          <w:p>
            <w:pPr>
              <w:rPr>
                <w:rFonts w:ascii="Arial"/>
                <w:sz w:val="21"/>
              </w:rPr>
            </w:pPr>
          </w:p>
        </w:tc>
        <w:tc>
          <w:tcPr>
            <w:tcW w:w="954"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80" w:hRule="atLeast"/>
        </w:trPr>
        <w:tc>
          <w:tcPr>
            <w:tcW w:w="98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512102</w:t>
            </w:r>
          </w:p>
        </w:tc>
        <w:tc>
          <w:tcPr>
            <w:tcW w:w="2383" w:type="dxa"/>
            <w:vAlign w:val="top"/>
          </w:tcPr>
          <w:p>
            <w:pPr>
              <w:spacing w:before="137" w:line="220" w:lineRule="auto"/>
              <w:ind w:left="39"/>
              <w:rPr>
                <w:rFonts w:hint="eastAsia" w:ascii="宋体" w:hAnsi="宋体" w:eastAsia="宋体" w:cs="宋体"/>
                <w:sz w:val="22"/>
                <w:szCs w:val="22"/>
              </w:rPr>
            </w:pPr>
            <w:r>
              <w:rPr>
                <w:rFonts w:hint="eastAsia" w:ascii="宋体" w:hAnsi="宋体" w:eastAsia="宋体" w:cs="宋体"/>
                <w:sz w:val="22"/>
                <w:szCs w:val="22"/>
              </w:rPr>
              <w:t>青衣交通站</w:t>
            </w:r>
          </w:p>
        </w:tc>
        <w:tc>
          <w:tcPr>
            <w:tcW w:w="121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28.10</w:t>
            </w:r>
          </w:p>
        </w:tc>
        <w:tc>
          <w:tcPr>
            <w:tcW w:w="105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0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28.10</w:t>
            </w:r>
          </w:p>
        </w:tc>
        <w:tc>
          <w:tcPr>
            <w:tcW w:w="983" w:type="dxa"/>
            <w:vAlign w:val="top"/>
          </w:tcPr>
          <w:p>
            <w:pPr>
              <w:rPr>
                <w:rFonts w:ascii="Arial"/>
                <w:sz w:val="21"/>
              </w:rPr>
            </w:pPr>
          </w:p>
        </w:tc>
        <w:tc>
          <w:tcPr>
            <w:tcW w:w="753" w:type="dxa"/>
            <w:vAlign w:val="top"/>
          </w:tcPr>
          <w:p>
            <w:pPr>
              <w:rPr>
                <w:rFonts w:ascii="Arial"/>
                <w:sz w:val="21"/>
              </w:rPr>
            </w:pPr>
          </w:p>
        </w:tc>
        <w:tc>
          <w:tcPr>
            <w:tcW w:w="954"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80" w:hRule="atLeast"/>
        </w:trPr>
        <w:tc>
          <w:tcPr>
            <w:tcW w:w="98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512103</w:t>
            </w:r>
          </w:p>
        </w:tc>
        <w:tc>
          <w:tcPr>
            <w:tcW w:w="2383" w:type="dxa"/>
            <w:vAlign w:val="top"/>
          </w:tcPr>
          <w:p>
            <w:pPr>
              <w:spacing w:before="137" w:line="220" w:lineRule="auto"/>
              <w:ind w:left="39"/>
              <w:rPr>
                <w:rFonts w:hint="eastAsia" w:ascii="宋体" w:hAnsi="宋体" w:eastAsia="宋体" w:cs="宋体"/>
                <w:sz w:val="22"/>
                <w:szCs w:val="22"/>
              </w:rPr>
            </w:pPr>
            <w:r>
              <w:rPr>
                <w:rFonts w:hint="eastAsia" w:ascii="宋体" w:hAnsi="宋体" w:eastAsia="宋体" w:cs="宋体"/>
                <w:sz w:val="22"/>
                <w:szCs w:val="22"/>
              </w:rPr>
              <w:t>新场交通站</w:t>
            </w:r>
          </w:p>
        </w:tc>
        <w:tc>
          <w:tcPr>
            <w:tcW w:w="121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52.52</w:t>
            </w:r>
          </w:p>
        </w:tc>
        <w:tc>
          <w:tcPr>
            <w:tcW w:w="105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0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52.52</w:t>
            </w:r>
          </w:p>
        </w:tc>
        <w:tc>
          <w:tcPr>
            <w:tcW w:w="983" w:type="dxa"/>
            <w:vAlign w:val="top"/>
          </w:tcPr>
          <w:p>
            <w:pPr>
              <w:rPr>
                <w:rFonts w:ascii="Arial"/>
                <w:sz w:val="21"/>
              </w:rPr>
            </w:pPr>
          </w:p>
        </w:tc>
        <w:tc>
          <w:tcPr>
            <w:tcW w:w="753" w:type="dxa"/>
            <w:vAlign w:val="top"/>
          </w:tcPr>
          <w:p>
            <w:pPr>
              <w:rPr>
                <w:rFonts w:ascii="Arial"/>
                <w:sz w:val="21"/>
              </w:rPr>
            </w:pPr>
          </w:p>
        </w:tc>
        <w:tc>
          <w:tcPr>
            <w:tcW w:w="954"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80" w:hRule="atLeast"/>
        </w:trPr>
        <w:tc>
          <w:tcPr>
            <w:tcW w:w="98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512104</w:t>
            </w:r>
          </w:p>
        </w:tc>
        <w:tc>
          <w:tcPr>
            <w:tcW w:w="2383" w:type="dxa"/>
            <w:vAlign w:val="top"/>
          </w:tcPr>
          <w:p>
            <w:pPr>
              <w:spacing w:before="137" w:line="220" w:lineRule="auto"/>
              <w:ind w:left="39"/>
              <w:rPr>
                <w:rFonts w:hint="eastAsia" w:ascii="宋体" w:hAnsi="宋体" w:eastAsia="宋体" w:cs="宋体"/>
                <w:sz w:val="22"/>
                <w:szCs w:val="22"/>
              </w:rPr>
            </w:pPr>
            <w:r>
              <w:rPr>
                <w:rFonts w:hint="eastAsia" w:ascii="宋体" w:hAnsi="宋体" w:eastAsia="宋体" w:cs="宋体"/>
                <w:sz w:val="22"/>
                <w:szCs w:val="22"/>
              </w:rPr>
              <w:t>甘江交通站</w:t>
            </w:r>
          </w:p>
        </w:tc>
        <w:tc>
          <w:tcPr>
            <w:tcW w:w="121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62.54</w:t>
            </w:r>
          </w:p>
        </w:tc>
        <w:tc>
          <w:tcPr>
            <w:tcW w:w="105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0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62.54</w:t>
            </w:r>
          </w:p>
        </w:tc>
        <w:tc>
          <w:tcPr>
            <w:tcW w:w="983" w:type="dxa"/>
            <w:vAlign w:val="top"/>
          </w:tcPr>
          <w:p>
            <w:pPr>
              <w:rPr>
                <w:rFonts w:ascii="Arial"/>
                <w:sz w:val="21"/>
              </w:rPr>
            </w:pPr>
          </w:p>
        </w:tc>
        <w:tc>
          <w:tcPr>
            <w:tcW w:w="753" w:type="dxa"/>
            <w:vAlign w:val="top"/>
          </w:tcPr>
          <w:p>
            <w:pPr>
              <w:rPr>
                <w:rFonts w:ascii="Arial"/>
                <w:sz w:val="21"/>
              </w:rPr>
            </w:pPr>
          </w:p>
        </w:tc>
        <w:tc>
          <w:tcPr>
            <w:tcW w:w="954"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80" w:hRule="atLeast"/>
        </w:trPr>
        <w:tc>
          <w:tcPr>
            <w:tcW w:w="98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512105</w:t>
            </w:r>
          </w:p>
        </w:tc>
        <w:tc>
          <w:tcPr>
            <w:tcW w:w="2383" w:type="dxa"/>
            <w:vAlign w:val="top"/>
          </w:tcPr>
          <w:p>
            <w:pPr>
              <w:spacing w:before="137" w:line="220" w:lineRule="auto"/>
              <w:ind w:left="39"/>
              <w:rPr>
                <w:rFonts w:hint="eastAsia" w:ascii="宋体" w:hAnsi="宋体" w:eastAsia="宋体" w:cs="宋体"/>
                <w:sz w:val="22"/>
                <w:szCs w:val="22"/>
              </w:rPr>
            </w:pPr>
            <w:r>
              <w:rPr>
                <w:rFonts w:hint="eastAsia" w:ascii="宋体" w:hAnsi="宋体" w:eastAsia="宋体" w:cs="宋体"/>
                <w:sz w:val="22"/>
                <w:szCs w:val="22"/>
              </w:rPr>
              <w:t>木城交通站</w:t>
            </w:r>
          </w:p>
        </w:tc>
        <w:tc>
          <w:tcPr>
            <w:tcW w:w="121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50.93</w:t>
            </w:r>
          </w:p>
        </w:tc>
        <w:tc>
          <w:tcPr>
            <w:tcW w:w="105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0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50.93</w:t>
            </w:r>
          </w:p>
        </w:tc>
        <w:tc>
          <w:tcPr>
            <w:tcW w:w="983" w:type="dxa"/>
            <w:vAlign w:val="top"/>
          </w:tcPr>
          <w:p>
            <w:pPr>
              <w:rPr>
                <w:rFonts w:ascii="Arial"/>
                <w:sz w:val="21"/>
              </w:rPr>
            </w:pPr>
          </w:p>
        </w:tc>
        <w:tc>
          <w:tcPr>
            <w:tcW w:w="753" w:type="dxa"/>
            <w:vAlign w:val="top"/>
          </w:tcPr>
          <w:p>
            <w:pPr>
              <w:rPr>
                <w:rFonts w:ascii="Arial"/>
                <w:sz w:val="21"/>
              </w:rPr>
            </w:pPr>
          </w:p>
        </w:tc>
        <w:tc>
          <w:tcPr>
            <w:tcW w:w="954"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80" w:hRule="atLeast"/>
        </w:trPr>
        <w:tc>
          <w:tcPr>
            <w:tcW w:w="98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512106</w:t>
            </w:r>
          </w:p>
        </w:tc>
        <w:tc>
          <w:tcPr>
            <w:tcW w:w="2383" w:type="dxa"/>
            <w:vAlign w:val="top"/>
          </w:tcPr>
          <w:p>
            <w:pPr>
              <w:spacing w:before="137" w:line="220" w:lineRule="auto"/>
              <w:ind w:left="39"/>
              <w:rPr>
                <w:rFonts w:hint="eastAsia" w:ascii="宋体" w:hAnsi="宋体" w:eastAsia="宋体" w:cs="宋体"/>
                <w:sz w:val="22"/>
                <w:szCs w:val="22"/>
              </w:rPr>
            </w:pPr>
            <w:r>
              <w:rPr>
                <w:rFonts w:hint="eastAsia" w:ascii="宋体" w:hAnsi="宋体" w:eastAsia="宋体" w:cs="宋体"/>
                <w:sz w:val="22"/>
                <w:szCs w:val="22"/>
              </w:rPr>
              <w:t>吴场交通站</w:t>
            </w:r>
          </w:p>
        </w:tc>
        <w:tc>
          <w:tcPr>
            <w:tcW w:w="121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66.09</w:t>
            </w:r>
          </w:p>
        </w:tc>
        <w:tc>
          <w:tcPr>
            <w:tcW w:w="105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0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66.09</w:t>
            </w:r>
          </w:p>
        </w:tc>
        <w:tc>
          <w:tcPr>
            <w:tcW w:w="983" w:type="dxa"/>
            <w:vAlign w:val="top"/>
          </w:tcPr>
          <w:p>
            <w:pPr>
              <w:rPr>
                <w:rFonts w:ascii="Arial"/>
                <w:sz w:val="21"/>
              </w:rPr>
            </w:pPr>
          </w:p>
        </w:tc>
        <w:tc>
          <w:tcPr>
            <w:tcW w:w="753" w:type="dxa"/>
            <w:vAlign w:val="top"/>
          </w:tcPr>
          <w:p>
            <w:pPr>
              <w:rPr>
                <w:rFonts w:ascii="Arial"/>
                <w:sz w:val="21"/>
              </w:rPr>
            </w:pPr>
          </w:p>
        </w:tc>
        <w:tc>
          <w:tcPr>
            <w:tcW w:w="954"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80" w:hRule="atLeast"/>
        </w:trPr>
        <w:tc>
          <w:tcPr>
            <w:tcW w:w="98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512107</w:t>
            </w:r>
          </w:p>
        </w:tc>
        <w:tc>
          <w:tcPr>
            <w:tcW w:w="2383" w:type="dxa"/>
            <w:vAlign w:val="top"/>
          </w:tcPr>
          <w:p>
            <w:pPr>
              <w:spacing w:before="137" w:line="220" w:lineRule="auto"/>
              <w:ind w:left="39"/>
              <w:rPr>
                <w:rFonts w:hint="eastAsia" w:ascii="宋体" w:hAnsi="宋体" w:eastAsia="宋体" w:cs="宋体"/>
                <w:sz w:val="22"/>
                <w:szCs w:val="22"/>
              </w:rPr>
            </w:pPr>
            <w:r>
              <w:rPr>
                <w:rFonts w:hint="eastAsia" w:ascii="宋体" w:hAnsi="宋体" w:eastAsia="宋体" w:cs="宋体"/>
                <w:sz w:val="22"/>
                <w:szCs w:val="22"/>
              </w:rPr>
              <w:t>黄土交通站</w:t>
            </w:r>
          </w:p>
        </w:tc>
        <w:tc>
          <w:tcPr>
            <w:tcW w:w="121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42.25</w:t>
            </w:r>
          </w:p>
        </w:tc>
        <w:tc>
          <w:tcPr>
            <w:tcW w:w="105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0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42.25</w:t>
            </w:r>
          </w:p>
        </w:tc>
        <w:tc>
          <w:tcPr>
            <w:tcW w:w="983" w:type="dxa"/>
            <w:vAlign w:val="top"/>
          </w:tcPr>
          <w:p>
            <w:pPr>
              <w:rPr>
                <w:rFonts w:ascii="Arial"/>
                <w:sz w:val="21"/>
              </w:rPr>
            </w:pPr>
          </w:p>
        </w:tc>
        <w:tc>
          <w:tcPr>
            <w:tcW w:w="753" w:type="dxa"/>
            <w:vAlign w:val="top"/>
          </w:tcPr>
          <w:p>
            <w:pPr>
              <w:rPr>
                <w:rFonts w:ascii="Arial"/>
                <w:sz w:val="21"/>
              </w:rPr>
            </w:pPr>
          </w:p>
        </w:tc>
        <w:tc>
          <w:tcPr>
            <w:tcW w:w="954"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80" w:hRule="atLeast"/>
        </w:trPr>
        <w:tc>
          <w:tcPr>
            <w:tcW w:w="98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512108</w:t>
            </w:r>
          </w:p>
        </w:tc>
        <w:tc>
          <w:tcPr>
            <w:tcW w:w="2383" w:type="dxa"/>
            <w:vAlign w:val="top"/>
          </w:tcPr>
          <w:p>
            <w:pPr>
              <w:spacing w:before="137" w:line="220" w:lineRule="auto"/>
              <w:ind w:left="39"/>
              <w:rPr>
                <w:rFonts w:hint="eastAsia" w:ascii="宋体" w:hAnsi="宋体" w:eastAsia="宋体" w:cs="宋体"/>
                <w:sz w:val="22"/>
                <w:szCs w:val="22"/>
              </w:rPr>
            </w:pPr>
            <w:r>
              <w:rPr>
                <w:rFonts w:hint="eastAsia" w:ascii="宋体" w:hAnsi="宋体" w:eastAsia="宋体" w:cs="宋体"/>
                <w:sz w:val="22"/>
                <w:szCs w:val="22"/>
              </w:rPr>
              <w:t>马村交通站</w:t>
            </w:r>
          </w:p>
        </w:tc>
        <w:tc>
          <w:tcPr>
            <w:tcW w:w="121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43.79</w:t>
            </w:r>
          </w:p>
        </w:tc>
        <w:tc>
          <w:tcPr>
            <w:tcW w:w="105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0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43.79</w:t>
            </w:r>
          </w:p>
        </w:tc>
        <w:tc>
          <w:tcPr>
            <w:tcW w:w="983" w:type="dxa"/>
            <w:vAlign w:val="top"/>
          </w:tcPr>
          <w:p>
            <w:pPr>
              <w:rPr>
                <w:rFonts w:ascii="Arial"/>
                <w:sz w:val="21"/>
              </w:rPr>
            </w:pPr>
          </w:p>
        </w:tc>
        <w:tc>
          <w:tcPr>
            <w:tcW w:w="753" w:type="dxa"/>
            <w:vAlign w:val="top"/>
          </w:tcPr>
          <w:p>
            <w:pPr>
              <w:rPr>
                <w:rFonts w:ascii="Arial"/>
                <w:sz w:val="21"/>
              </w:rPr>
            </w:pPr>
          </w:p>
        </w:tc>
        <w:tc>
          <w:tcPr>
            <w:tcW w:w="954"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80" w:hRule="atLeast"/>
        </w:trPr>
        <w:tc>
          <w:tcPr>
            <w:tcW w:w="98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512109</w:t>
            </w:r>
          </w:p>
        </w:tc>
        <w:tc>
          <w:tcPr>
            <w:tcW w:w="2383" w:type="dxa"/>
            <w:vAlign w:val="top"/>
          </w:tcPr>
          <w:p>
            <w:pPr>
              <w:spacing w:before="137" w:line="220" w:lineRule="auto"/>
              <w:ind w:left="39"/>
              <w:rPr>
                <w:rFonts w:hint="eastAsia" w:ascii="宋体" w:hAnsi="宋体" w:eastAsia="宋体" w:cs="宋体"/>
                <w:sz w:val="22"/>
                <w:szCs w:val="22"/>
              </w:rPr>
            </w:pPr>
            <w:r>
              <w:rPr>
                <w:rFonts w:hint="eastAsia" w:ascii="宋体" w:hAnsi="宋体" w:eastAsia="宋体" w:cs="宋体"/>
                <w:sz w:val="22"/>
                <w:szCs w:val="22"/>
              </w:rPr>
              <w:t>华头交通站</w:t>
            </w:r>
          </w:p>
        </w:tc>
        <w:tc>
          <w:tcPr>
            <w:tcW w:w="121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33.16</w:t>
            </w:r>
          </w:p>
        </w:tc>
        <w:tc>
          <w:tcPr>
            <w:tcW w:w="105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0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33.16</w:t>
            </w:r>
          </w:p>
        </w:tc>
        <w:tc>
          <w:tcPr>
            <w:tcW w:w="983" w:type="dxa"/>
            <w:vAlign w:val="top"/>
          </w:tcPr>
          <w:p>
            <w:pPr>
              <w:rPr>
                <w:rFonts w:ascii="Arial"/>
                <w:sz w:val="21"/>
              </w:rPr>
            </w:pPr>
          </w:p>
        </w:tc>
        <w:tc>
          <w:tcPr>
            <w:tcW w:w="753" w:type="dxa"/>
            <w:vAlign w:val="top"/>
          </w:tcPr>
          <w:p>
            <w:pPr>
              <w:rPr>
                <w:rFonts w:ascii="Arial"/>
                <w:sz w:val="21"/>
              </w:rPr>
            </w:pPr>
          </w:p>
        </w:tc>
        <w:tc>
          <w:tcPr>
            <w:tcW w:w="954"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1" w:type="dxa"/>
            <w:vAlign w:val="top"/>
          </w:tcPr>
          <w:p>
            <w:pPr>
              <w:rPr>
                <w:rFonts w:ascii="Arial"/>
                <w:sz w:val="21"/>
              </w:rPr>
            </w:pPr>
          </w:p>
        </w:tc>
      </w:tr>
    </w:tbl>
    <w:p>
      <w:pPr>
        <w:rPr>
          <w:rFonts w:ascii="Arial"/>
          <w:sz w:val="21"/>
        </w:rPr>
      </w:pPr>
    </w:p>
    <w:p>
      <w:pPr>
        <w:sectPr>
          <w:footerReference r:id="rId17" w:type="default"/>
          <w:pgSz w:w="16839" w:h="11906"/>
          <w:pgMar w:top="1012" w:right="1420" w:bottom="856" w:left="1420" w:header="0" w:footer="572" w:gutter="0"/>
          <w:cols w:space="720" w:num="1"/>
        </w:sect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71" w:line="212" w:lineRule="auto"/>
        <w:ind w:right="181"/>
        <w:jc w:val="right"/>
        <w:rPr>
          <w:rFonts w:ascii="宋体" w:hAnsi="宋体" w:eastAsia="宋体" w:cs="宋体"/>
          <w:sz w:val="22"/>
          <w:szCs w:val="22"/>
        </w:rPr>
      </w:pPr>
      <w:r>
        <w:rPr>
          <w:rFonts w:ascii="宋体" w:hAnsi="宋体" w:eastAsia="宋体" w:cs="宋体"/>
          <w:spacing w:val="-6"/>
          <w:sz w:val="22"/>
          <w:szCs w:val="22"/>
        </w:rPr>
        <w:t>单位公开表 1-2</w:t>
      </w:r>
    </w:p>
    <w:tbl>
      <w:tblPr>
        <w:tblStyle w:val="30"/>
        <w:tblW w:w="13992" w:type="dxa"/>
        <w:tblInd w:w="2" w:type="dxa"/>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
      <w:tblGrid>
        <w:gridCol w:w="412"/>
        <w:gridCol w:w="283"/>
        <w:gridCol w:w="284"/>
        <w:gridCol w:w="1031"/>
        <w:gridCol w:w="4005"/>
        <w:gridCol w:w="1160"/>
        <w:gridCol w:w="1291"/>
        <w:gridCol w:w="1370"/>
        <w:gridCol w:w="1875"/>
        <w:gridCol w:w="2281"/>
      </w:tblGrid>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62" w:hRule="atLeast"/>
        </w:trPr>
        <w:tc>
          <w:tcPr>
            <w:tcW w:w="13992" w:type="dxa"/>
            <w:gridSpan w:val="10"/>
            <w:tcBorders>
              <w:top w:val="single" w:color="FFFFFF" w:sz="2" w:space="0"/>
              <w:left w:val="single" w:color="FFFFFF" w:sz="2" w:space="0"/>
              <w:bottom w:val="single" w:color="FFFFFF" w:sz="2" w:space="0"/>
              <w:right w:val="single" w:color="FFFFFF" w:sz="2" w:space="0"/>
            </w:tcBorders>
            <w:vAlign w:val="top"/>
          </w:tcPr>
          <w:p>
            <w:pPr>
              <w:spacing w:before="181" w:line="226" w:lineRule="auto"/>
              <w:ind w:left="6046"/>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单</w:t>
            </w:r>
            <w:r>
              <w:rPr>
                <w:rFonts w:ascii="宋体" w:hAnsi="宋体" w:eastAsia="宋体" w:cs="宋体"/>
                <w:spacing w:val="8"/>
                <w:sz w:val="31"/>
                <w:szCs w:val="31"/>
                <w14:textOutline w14:w="5793" w14:cap="sq" w14:cmpd="sng">
                  <w14:solidFill>
                    <w14:srgbClr w14:val="000000"/>
                  </w14:solidFill>
                  <w14:prstDash w14:val="solid"/>
                  <w14:bevel/>
                </w14:textOutline>
              </w:rPr>
              <w:t>位支出总表</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11" w:hRule="atLeast"/>
        </w:trPr>
        <w:tc>
          <w:tcPr>
            <w:tcW w:w="6015" w:type="dxa"/>
            <w:gridSpan w:val="5"/>
            <w:tcBorders>
              <w:top w:val="single" w:color="FFFFFF" w:sz="2" w:space="0"/>
              <w:left w:val="single" w:color="FFFFFF" w:sz="2" w:space="0"/>
              <w:right w:val="single" w:color="FFFFFF" w:sz="2" w:space="0"/>
            </w:tcBorders>
            <w:vAlign w:val="top"/>
          </w:tcPr>
          <w:p>
            <w:pPr>
              <w:spacing w:before="101" w:line="222" w:lineRule="auto"/>
              <w:ind w:left="25"/>
              <w:rPr>
                <w:rFonts w:hint="eastAsia" w:ascii="宋体" w:hAnsi="宋体" w:eastAsia="宋体" w:cs="宋体"/>
                <w:sz w:val="22"/>
                <w:szCs w:val="22"/>
                <w:lang w:eastAsia="zh-CN"/>
              </w:rPr>
            </w:pPr>
            <w:r>
              <w:rPr>
                <w:rFonts w:ascii="宋体" w:hAnsi="宋体" w:eastAsia="宋体" w:cs="宋体"/>
                <w:spacing w:val="-1"/>
                <w:sz w:val="22"/>
                <w:szCs w:val="22"/>
              </w:rPr>
              <w:t>单位：</w:t>
            </w:r>
            <w:r>
              <w:rPr>
                <w:rFonts w:hint="eastAsia" w:ascii="宋体" w:hAnsi="宋体" w:eastAsia="宋体" w:cs="宋体"/>
                <w:spacing w:val="-1"/>
                <w:sz w:val="22"/>
                <w:szCs w:val="22"/>
                <w:lang w:eastAsia="zh-CN"/>
              </w:rPr>
              <w:t>夹江县交通运输局</w:t>
            </w:r>
          </w:p>
        </w:tc>
        <w:tc>
          <w:tcPr>
            <w:tcW w:w="1160" w:type="dxa"/>
            <w:tcBorders>
              <w:top w:val="single" w:color="FFFFFF" w:sz="2" w:space="0"/>
              <w:left w:val="single" w:color="FFFFFF" w:sz="2" w:space="0"/>
              <w:right w:val="single" w:color="FFFFFF" w:sz="2" w:space="0"/>
            </w:tcBorders>
            <w:vAlign w:val="top"/>
          </w:tcPr>
          <w:p>
            <w:pPr>
              <w:rPr>
                <w:rFonts w:ascii="Arial"/>
                <w:sz w:val="21"/>
              </w:rPr>
            </w:pPr>
          </w:p>
        </w:tc>
        <w:tc>
          <w:tcPr>
            <w:tcW w:w="1291" w:type="dxa"/>
            <w:tcBorders>
              <w:top w:val="single" w:color="FFFFFF" w:sz="2" w:space="0"/>
              <w:left w:val="single" w:color="FFFFFF" w:sz="2" w:space="0"/>
              <w:right w:val="single" w:color="FFFFFF" w:sz="2" w:space="0"/>
            </w:tcBorders>
            <w:vAlign w:val="top"/>
          </w:tcPr>
          <w:p>
            <w:pPr>
              <w:rPr>
                <w:rFonts w:ascii="Arial"/>
                <w:sz w:val="21"/>
              </w:rPr>
            </w:pPr>
          </w:p>
        </w:tc>
        <w:tc>
          <w:tcPr>
            <w:tcW w:w="1370" w:type="dxa"/>
            <w:tcBorders>
              <w:top w:val="single" w:color="FFFFFF" w:sz="2" w:space="0"/>
              <w:left w:val="single" w:color="FFFFFF" w:sz="2" w:space="0"/>
              <w:right w:val="single" w:color="FFFFFF" w:sz="2" w:space="0"/>
            </w:tcBorders>
            <w:vAlign w:val="top"/>
          </w:tcPr>
          <w:p>
            <w:pPr>
              <w:rPr>
                <w:rFonts w:ascii="Arial"/>
                <w:sz w:val="21"/>
              </w:rPr>
            </w:pPr>
          </w:p>
        </w:tc>
        <w:tc>
          <w:tcPr>
            <w:tcW w:w="1875" w:type="dxa"/>
            <w:tcBorders>
              <w:top w:val="single" w:color="FFFFFF" w:sz="2" w:space="0"/>
              <w:left w:val="single" w:color="FFFFFF" w:sz="2" w:space="0"/>
              <w:right w:val="single" w:color="FFFFFF" w:sz="2" w:space="0"/>
            </w:tcBorders>
            <w:vAlign w:val="top"/>
          </w:tcPr>
          <w:p>
            <w:pPr>
              <w:rPr>
                <w:rFonts w:ascii="Arial"/>
                <w:sz w:val="21"/>
              </w:rPr>
            </w:pPr>
          </w:p>
        </w:tc>
        <w:tc>
          <w:tcPr>
            <w:tcW w:w="2281" w:type="dxa"/>
            <w:tcBorders>
              <w:top w:val="single" w:color="FFFFFF" w:sz="2" w:space="0"/>
              <w:left w:val="single" w:color="FFFFFF" w:sz="2" w:space="0"/>
              <w:right w:val="single" w:color="FFFFFF" w:sz="2" w:space="0"/>
            </w:tcBorders>
            <w:vAlign w:val="top"/>
          </w:tcPr>
          <w:p>
            <w:pPr>
              <w:spacing w:before="102" w:line="221" w:lineRule="auto"/>
              <w:ind w:left="378"/>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22" w:hRule="atLeast"/>
        </w:trPr>
        <w:tc>
          <w:tcPr>
            <w:tcW w:w="6015" w:type="dxa"/>
            <w:gridSpan w:val="5"/>
            <w:shd w:val="clear" w:color="auto" w:fill="EFF2F7"/>
            <w:vAlign w:val="top"/>
          </w:tcPr>
          <w:p>
            <w:pPr>
              <w:spacing w:before="105" w:line="222" w:lineRule="auto"/>
              <w:ind w:left="2578"/>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项</w:t>
            </w:r>
            <w:r>
              <w:rPr>
                <w:rFonts w:ascii="宋体" w:hAnsi="宋体" w:eastAsia="宋体" w:cs="宋体"/>
                <w:spacing w:val="7"/>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目</w:t>
            </w:r>
          </w:p>
        </w:tc>
        <w:tc>
          <w:tcPr>
            <w:tcW w:w="1160" w:type="dxa"/>
            <w:vMerge w:val="restart"/>
            <w:tcBorders>
              <w:bottom w:val="nil"/>
            </w:tcBorders>
            <w:shd w:val="clear" w:color="auto" w:fill="EFF2F7"/>
            <w:vAlign w:val="top"/>
          </w:tcPr>
          <w:p>
            <w:pPr>
              <w:spacing w:line="461" w:lineRule="auto"/>
              <w:rPr>
                <w:rFonts w:ascii="Arial"/>
                <w:sz w:val="21"/>
              </w:rPr>
            </w:pPr>
          </w:p>
          <w:p>
            <w:pPr>
              <w:spacing w:before="72" w:line="222" w:lineRule="auto"/>
              <w:ind w:left="366"/>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1291" w:type="dxa"/>
            <w:vMerge w:val="restart"/>
            <w:tcBorders>
              <w:bottom w:val="nil"/>
            </w:tcBorders>
            <w:shd w:val="clear" w:color="auto" w:fill="EFF2F7"/>
            <w:vAlign w:val="top"/>
          </w:tcPr>
          <w:p>
            <w:pPr>
              <w:spacing w:line="461" w:lineRule="auto"/>
              <w:rPr>
                <w:rFonts w:ascii="Arial"/>
                <w:sz w:val="21"/>
              </w:rPr>
            </w:pPr>
          </w:p>
          <w:p>
            <w:pPr>
              <w:spacing w:before="72" w:line="220" w:lineRule="auto"/>
              <w:ind w:left="211"/>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基本</w:t>
            </w:r>
            <w:r>
              <w:rPr>
                <w:rFonts w:ascii="宋体" w:hAnsi="宋体" w:eastAsia="宋体" w:cs="宋体"/>
                <w:spacing w:val="-1"/>
                <w:sz w:val="22"/>
                <w:szCs w:val="22"/>
                <w14:textOutline w14:w="4013" w14:cap="sq" w14:cmpd="sng">
                  <w14:solidFill>
                    <w14:srgbClr w14:val="000000"/>
                  </w14:solidFill>
                  <w14:prstDash w14:val="solid"/>
                  <w14:bevel/>
                </w14:textOutline>
              </w:rPr>
              <w:t>支出</w:t>
            </w:r>
          </w:p>
        </w:tc>
        <w:tc>
          <w:tcPr>
            <w:tcW w:w="1370" w:type="dxa"/>
            <w:vMerge w:val="restart"/>
            <w:tcBorders>
              <w:bottom w:val="nil"/>
            </w:tcBorders>
            <w:shd w:val="clear" w:color="auto" w:fill="EFF2F7"/>
            <w:vAlign w:val="top"/>
          </w:tcPr>
          <w:p>
            <w:pPr>
              <w:spacing w:line="460" w:lineRule="auto"/>
              <w:rPr>
                <w:rFonts w:ascii="Arial"/>
                <w:sz w:val="21"/>
              </w:rPr>
            </w:pPr>
          </w:p>
          <w:p>
            <w:pPr>
              <w:spacing w:before="72" w:line="222" w:lineRule="auto"/>
              <w:ind w:left="253"/>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项</w:t>
            </w:r>
            <w:r>
              <w:rPr>
                <w:rFonts w:ascii="宋体" w:hAnsi="宋体" w:eastAsia="宋体" w:cs="宋体"/>
                <w:spacing w:val="-2"/>
                <w:sz w:val="22"/>
                <w:szCs w:val="22"/>
                <w14:textOutline w14:w="4013" w14:cap="sq" w14:cmpd="sng">
                  <w14:solidFill>
                    <w14:srgbClr w14:val="000000"/>
                  </w14:solidFill>
                  <w14:prstDash w14:val="solid"/>
                  <w14:bevel/>
                </w14:textOutline>
              </w:rPr>
              <w:t>目支出</w:t>
            </w:r>
          </w:p>
        </w:tc>
        <w:tc>
          <w:tcPr>
            <w:tcW w:w="1875" w:type="dxa"/>
            <w:vMerge w:val="restart"/>
            <w:tcBorders>
              <w:bottom w:val="nil"/>
            </w:tcBorders>
            <w:shd w:val="clear" w:color="auto" w:fill="EFF2F7"/>
            <w:vAlign w:val="top"/>
          </w:tcPr>
          <w:p>
            <w:pPr>
              <w:spacing w:line="461" w:lineRule="auto"/>
              <w:rPr>
                <w:rFonts w:ascii="Arial"/>
                <w:sz w:val="21"/>
              </w:rPr>
            </w:pPr>
          </w:p>
          <w:p>
            <w:pPr>
              <w:spacing w:before="71" w:line="221" w:lineRule="auto"/>
              <w:ind w:left="285"/>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上缴上级支出</w:t>
            </w:r>
          </w:p>
        </w:tc>
        <w:tc>
          <w:tcPr>
            <w:tcW w:w="2281" w:type="dxa"/>
            <w:vMerge w:val="restart"/>
            <w:tcBorders>
              <w:bottom w:val="nil"/>
            </w:tcBorders>
            <w:shd w:val="clear" w:color="auto" w:fill="EFF2F7"/>
            <w:vAlign w:val="top"/>
          </w:tcPr>
          <w:p>
            <w:pPr>
              <w:spacing w:line="461" w:lineRule="auto"/>
              <w:rPr>
                <w:rFonts w:ascii="Arial"/>
                <w:sz w:val="21"/>
              </w:rPr>
            </w:pPr>
          </w:p>
          <w:p>
            <w:pPr>
              <w:spacing w:before="72" w:line="220" w:lineRule="auto"/>
              <w:ind w:left="155"/>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对</w:t>
            </w:r>
            <w:r>
              <w:rPr>
                <w:rFonts w:ascii="宋体" w:hAnsi="宋体" w:eastAsia="宋体" w:cs="宋体"/>
                <w:sz w:val="22"/>
                <w:szCs w:val="22"/>
                <w14:textOutline w14:w="4013" w14:cap="sq" w14:cmpd="sng">
                  <w14:solidFill>
                    <w14:srgbClr w14:val="000000"/>
                  </w14:solidFill>
                  <w14:prstDash w14:val="solid"/>
                  <w14:bevel/>
                </w14:textOutline>
              </w:rPr>
              <w:t>附属单位补助支出</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08" w:hRule="atLeast"/>
        </w:trPr>
        <w:tc>
          <w:tcPr>
            <w:tcW w:w="979" w:type="dxa"/>
            <w:gridSpan w:val="3"/>
            <w:shd w:val="clear" w:color="auto" w:fill="EFF2F7"/>
            <w:vAlign w:val="top"/>
          </w:tcPr>
          <w:p>
            <w:pPr>
              <w:spacing w:before="99" w:line="220" w:lineRule="auto"/>
              <w:ind w:left="54"/>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科目</w:t>
            </w:r>
            <w:r>
              <w:rPr>
                <w:rFonts w:ascii="宋体" w:hAnsi="宋体" w:eastAsia="宋体" w:cs="宋体"/>
                <w:spacing w:val="-1"/>
                <w:sz w:val="22"/>
                <w:szCs w:val="22"/>
                <w14:textOutline w14:w="4013" w14:cap="sq" w14:cmpd="sng">
                  <w14:solidFill>
                    <w14:srgbClr w14:val="000000"/>
                  </w14:solidFill>
                  <w14:prstDash w14:val="solid"/>
                  <w14:bevel/>
                </w14:textOutline>
              </w:rPr>
              <w:t>编码</w:t>
            </w:r>
          </w:p>
        </w:tc>
        <w:tc>
          <w:tcPr>
            <w:tcW w:w="1031" w:type="dxa"/>
            <w:vMerge w:val="restart"/>
            <w:tcBorders>
              <w:bottom w:val="nil"/>
            </w:tcBorders>
            <w:shd w:val="clear" w:color="auto" w:fill="EFF2F7"/>
            <w:vAlign w:val="top"/>
          </w:tcPr>
          <w:p>
            <w:pPr>
              <w:spacing w:line="249" w:lineRule="auto"/>
              <w:rPr>
                <w:rFonts w:ascii="Arial"/>
                <w:sz w:val="21"/>
              </w:rPr>
            </w:pPr>
          </w:p>
          <w:p>
            <w:pPr>
              <w:spacing w:before="71" w:line="221" w:lineRule="auto"/>
              <w:ind w:left="80"/>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单位代</w:t>
            </w:r>
            <w:r>
              <w:rPr>
                <w:rFonts w:ascii="宋体" w:hAnsi="宋体" w:eastAsia="宋体" w:cs="宋体"/>
                <w:spacing w:val="-1"/>
                <w:sz w:val="22"/>
                <w:szCs w:val="22"/>
                <w14:textOutline w14:w="4013" w14:cap="sq" w14:cmpd="sng">
                  <w14:solidFill>
                    <w14:srgbClr w14:val="000000"/>
                  </w14:solidFill>
                  <w14:prstDash w14:val="solid"/>
                  <w14:bevel/>
                </w14:textOutline>
              </w:rPr>
              <w:t>码</w:t>
            </w:r>
          </w:p>
        </w:tc>
        <w:tc>
          <w:tcPr>
            <w:tcW w:w="4005" w:type="dxa"/>
            <w:vMerge w:val="restart"/>
            <w:tcBorders>
              <w:bottom w:val="nil"/>
            </w:tcBorders>
            <w:shd w:val="clear" w:color="auto" w:fill="EFF2F7"/>
            <w:vAlign w:val="top"/>
          </w:tcPr>
          <w:p>
            <w:pPr>
              <w:spacing w:line="249" w:lineRule="auto"/>
              <w:rPr>
                <w:rFonts w:ascii="Arial"/>
                <w:sz w:val="21"/>
              </w:rPr>
            </w:pPr>
          </w:p>
          <w:p>
            <w:pPr>
              <w:spacing w:before="72" w:line="220" w:lineRule="auto"/>
              <w:ind w:left="1127"/>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单位名称</w:t>
            </w:r>
            <w:r>
              <w:rPr>
                <w:rFonts w:ascii="宋体" w:hAnsi="宋体" w:eastAsia="宋体" w:cs="宋体"/>
                <w:spacing w:val="-1"/>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(科目)</w:t>
            </w:r>
          </w:p>
        </w:tc>
        <w:tc>
          <w:tcPr>
            <w:tcW w:w="1160" w:type="dxa"/>
            <w:vMerge w:val="continue"/>
            <w:tcBorders>
              <w:top w:val="nil"/>
              <w:bottom w:val="nil"/>
            </w:tcBorders>
            <w:vAlign w:val="top"/>
          </w:tcPr>
          <w:p>
            <w:pPr>
              <w:rPr>
                <w:rFonts w:ascii="Arial"/>
                <w:sz w:val="21"/>
              </w:rPr>
            </w:pPr>
          </w:p>
        </w:tc>
        <w:tc>
          <w:tcPr>
            <w:tcW w:w="1291" w:type="dxa"/>
            <w:vMerge w:val="continue"/>
            <w:tcBorders>
              <w:top w:val="nil"/>
              <w:bottom w:val="nil"/>
            </w:tcBorders>
            <w:vAlign w:val="top"/>
          </w:tcPr>
          <w:p>
            <w:pPr>
              <w:rPr>
                <w:rFonts w:ascii="Arial"/>
                <w:sz w:val="21"/>
              </w:rPr>
            </w:pPr>
          </w:p>
        </w:tc>
        <w:tc>
          <w:tcPr>
            <w:tcW w:w="1370" w:type="dxa"/>
            <w:vMerge w:val="continue"/>
            <w:tcBorders>
              <w:top w:val="nil"/>
              <w:bottom w:val="nil"/>
            </w:tcBorders>
            <w:vAlign w:val="top"/>
          </w:tcPr>
          <w:p>
            <w:pPr>
              <w:rPr>
                <w:rFonts w:ascii="Arial"/>
                <w:sz w:val="21"/>
              </w:rPr>
            </w:pPr>
          </w:p>
        </w:tc>
        <w:tc>
          <w:tcPr>
            <w:tcW w:w="1875" w:type="dxa"/>
            <w:vMerge w:val="continue"/>
            <w:tcBorders>
              <w:top w:val="nil"/>
              <w:bottom w:val="nil"/>
            </w:tcBorders>
            <w:vAlign w:val="top"/>
          </w:tcPr>
          <w:p>
            <w:pPr>
              <w:rPr>
                <w:rFonts w:ascii="Arial"/>
                <w:sz w:val="21"/>
              </w:rPr>
            </w:pPr>
          </w:p>
        </w:tc>
        <w:tc>
          <w:tcPr>
            <w:tcW w:w="2281" w:type="dxa"/>
            <w:vMerge w:val="continue"/>
            <w:tcBorders>
              <w:top w:val="nil"/>
              <w:bottom w:val="nil"/>
            </w:tcBorders>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37" w:hRule="atLeast"/>
        </w:trPr>
        <w:tc>
          <w:tcPr>
            <w:tcW w:w="412" w:type="dxa"/>
            <w:shd w:val="clear" w:color="auto" w:fill="EFF2F7"/>
            <w:vAlign w:val="top"/>
          </w:tcPr>
          <w:p>
            <w:pPr>
              <w:spacing w:before="115" w:line="221" w:lineRule="auto"/>
              <w:ind w:left="100"/>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类</w:t>
            </w:r>
          </w:p>
        </w:tc>
        <w:tc>
          <w:tcPr>
            <w:tcW w:w="283" w:type="dxa"/>
            <w:shd w:val="clear" w:color="auto" w:fill="EFF2F7"/>
            <w:vAlign w:val="top"/>
          </w:tcPr>
          <w:p>
            <w:pPr>
              <w:spacing w:before="116" w:line="222" w:lineRule="auto"/>
              <w:ind w:left="34"/>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款</w:t>
            </w:r>
          </w:p>
        </w:tc>
        <w:tc>
          <w:tcPr>
            <w:tcW w:w="284" w:type="dxa"/>
            <w:shd w:val="clear" w:color="auto" w:fill="EFF2F7"/>
            <w:vAlign w:val="top"/>
          </w:tcPr>
          <w:p>
            <w:pPr>
              <w:spacing w:before="115" w:line="222" w:lineRule="auto"/>
              <w:ind w:left="39"/>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项</w:t>
            </w:r>
          </w:p>
        </w:tc>
        <w:tc>
          <w:tcPr>
            <w:tcW w:w="1031" w:type="dxa"/>
            <w:vMerge w:val="continue"/>
            <w:tcBorders>
              <w:top w:val="nil"/>
            </w:tcBorders>
            <w:vAlign w:val="top"/>
          </w:tcPr>
          <w:p>
            <w:pPr>
              <w:rPr>
                <w:rFonts w:ascii="Arial"/>
                <w:sz w:val="21"/>
              </w:rPr>
            </w:pPr>
          </w:p>
        </w:tc>
        <w:tc>
          <w:tcPr>
            <w:tcW w:w="4005" w:type="dxa"/>
            <w:vMerge w:val="continue"/>
            <w:tcBorders>
              <w:top w:val="nil"/>
            </w:tcBorders>
            <w:vAlign w:val="top"/>
          </w:tcPr>
          <w:p>
            <w:pPr>
              <w:rPr>
                <w:rFonts w:ascii="Arial"/>
                <w:sz w:val="21"/>
              </w:rPr>
            </w:pPr>
          </w:p>
        </w:tc>
        <w:tc>
          <w:tcPr>
            <w:tcW w:w="1160" w:type="dxa"/>
            <w:vMerge w:val="continue"/>
            <w:tcBorders>
              <w:top w:val="nil"/>
            </w:tcBorders>
            <w:vAlign w:val="top"/>
          </w:tcPr>
          <w:p>
            <w:pPr>
              <w:rPr>
                <w:rFonts w:ascii="Arial"/>
                <w:sz w:val="21"/>
              </w:rPr>
            </w:pPr>
          </w:p>
        </w:tc>
        <w:tc>
          <w:tcPr>
            <w:tcW w:w="1291" w:type="dxa"/>
            <w:vMerge w:val="continue"/>
            <w:tcBorders>
              <w:top w:val="nil"/>
            </w:tcBorders>
            <w:vAlign w:val="top"/>
          </w:tcPr>
          <w:p>
            <w:pPr>
              <w:rPr>
                <w:rFonts w:ascii="Arial"/>
                <w:sz w:val="21"/>
              </w:rPr>
            </w:pPr>
          </w:p>
        </w:tc>
        <w:tc>
          <w:tcPr>
            <w:tcW w:w="1370" w:type="dxa"/>
            <w:vMerge w:val="continue"/>
            <w:tcBorders>
              <w:top w:val="nil"/>
            </w:tcBorders>
            <w:vAlign w:val="top"/>
          </w:tcPr>
          <w:p>
            <w:pPr>
              <w:rPr>
                <w:rFonts w:ascii="Arial"/>
                <w:sz w:val="21"/>
              </w:rPr>
            </w:pPr>
          </w:p>
        </w:tc>
        <w:tc>
          <w:tcPr>
            <w:tcW w:w="1875" w:type="dxa"/>
            <w:vMerge w:val="continue"/>
            <w:tcBorders>
              <w:top w:val="nil"/>
            </w:tcBorders>
            <w:vAlign w:val="top"/>
          </w:tcPr>
          <w:p>
            <w:pPr>
              <w:rPr>
                <w:rFonts w:ascii="Arial"/>
                <w:sz w:val="21"/>
              </w:rPr>
            </w:pPr>
          </w:p>
        </w:tc>
        <w:tc>
          <w:tcPr>
            <w:tcW w:w="2281" w:type="dxa"/>
            <w:vMerge w:val="continue"/>
            <w:tcBorders>
              <w:top w:val="nil"/>
            </w:tcBorders>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06" w:hRule="atLeast"/>
        </w:trPr>
        <w:tc>
          <w:tcPr>
            <w:tcW w:w="412" w:type="dxa"/>
            <w:vAlign w:val="top"/>
          </w:tcPr>
          <w:p>
            <w:pPr>
              <w:rPr>
                <w:rFonts w:ascii="Arial"/>
                <w:sz w:val="21"/>
              </w:rPr>
            </w:pPr>
          </w:p>
        </w:tc>
        <w:tc>
          <w:tcPr>
            <w:tcW w:w="283" w:type="dxa"/>
            <w:vAlign w:val="top"/>
          </w:tcPr>
          <w:p>
            <w:pPr>
              <w:rPr>
                <w:rFonts w:ascii="Arial"/>
                <w:sz w:val="21"/>
              </w:rPr>
            </w:pPr>
          </w:p>
        </w:tc>
        <w:tc>
          <w:tcPr>
            <w:tcW w:w="284" w:type="dxa"/>
            <w:vAlign w:val="top"/>
          </w:tcPr>
          <w:p>
            <w:pPr>
              <w:rPr>
                <w:rFonts w:ascii="Arial"/>
                <w:sz w:val="21"/>
              </w:rPr>
            </w:pPr>
          </w:p>
        </w:tc>
        <w:tc>
          <w:tcPr>
            <w:tcW w:w="1031" w:type="dxa"/>
            <w:vAlign w:val="top"/>
          </w:tcPr>
          <w:p>
            <w:pPr>
              <w:rPr>
                <w:rFonts w:ascii="Arial"/>
                <w:sz w:val="21"/>
              </w:rPr>
            </w:pP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Style w:val="31"/>
                <w:lang w:eastAsia="zh-CN" w:bidi="ar"/>
              </w:rPr>
              <w:t>夹江县交通运输局机关</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1,530.20</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240.32</w:t>
            </w:r>
          </w:p>
        </w:tc>
        <w:tc>
          <w:tcPr>
            <w:tcW w:w="137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1,289.88</w:t>
            </w: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35"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205</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w:t>
            </w:r>
          </w:p>
        </w:tc>
        <w:tc>
          <w:tcPr>
            <w:tcW w:w="284" w:type="dxa"/>
            <w:vAlign w:val="top"/>
          </w:tcPr>
          <w:p>
            <w:pPr>
              <w:spacing w:before="135" w:line="185" w:lineRule="auto"/>
              <w:ind w:left="18"/>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03</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培训支出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3.48</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3.48</w:t>
            </w:r>
          </w:p>
        </w:tc>
        <w:tc>
          <w:tcPr>
            <w:tcW w:w="1370" w:type="dxa"/>
            <w:vAlign w:val="top"/>
          </w:tcPr>
          <w:p>
            <w:pPr>
              <w:spacing w:before="135" w:line="185" w:lineRule="auto"/>
              <w:ind w:left="700"/>
              <w:rPr>
                <w:rFonts w:ascii="宋体" w:hAnsi="宋体" w:eastAsia="宋体" w:cs="宋体"/>
                <w:sz w:val="22"/>
                <w:szCs w:val="22"/>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339"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208</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行政单位离退休</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11.80</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11.80</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351"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208</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机关事业单位基本养老保险缴费支出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19.25</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19.25</w:t>
            </w:r>
          </w:p>
        </w:tc>
        <w:tc>
          <w:tcPr>
            <w:tcW w:w="1370" w:type="dxa"/>
            <w:vAlign w:val="top"/>
          </w:tcPr>
          <w:p>
            <w:pPr>
              <w:spacing w:before="106" w:line="205" w:lineRule="auto"/>
              <w:ind w:left="499"/>
              <w:rPr>
                <w:rFonts w:ascii="宋体" w:hAnsi="宋体" w:eastAsia="宋体" w:cs="宋体"/>
                <w:sz w:val="22"/>
                <w:szCs w:val="22"/>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341"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210</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行政单位医疗</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7.36</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7.36</w:t>
            </w:r>
          </w:p>
        </w:tc>
        <w:tc>
          <w:tcPr>
            <w:tcW w:w="1370" w:type="dxa"/>
            <w:vAlign w:val="top"/>
          </w:tcPr>
          <w:p>
            <w:pPr>
              <w:spacing w:before="100" w:line="186" w:lineRule="auto"/>
              <w:ind w:left="717"/>
              <w:rPr>
                <w:rFonts w:ascii="宋体" w:hAnsi="宋体" w:eastAsia="宋体" w:cs="宋体"/>
                <w:sz w:val="22"/>
                <w:szCs w:val="22"/>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339"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210</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03</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公务员医疗补助</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5.85</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5.85</w:t>
            </w:r>
          </w:p>
        </w:tc>
        <w:tc>
          <w:tcPr>
            <w:tcW w:w="1370" w:type="dxa"/>
            <w:vAlign w:val="top"/>
          </w:tcPr>
          <w:p>
            <w:pPr>
              <w:spacing w:before="101" w:line="199" w:lineRule="auto"/>
              <w:ind w:left="485"/>
              <w:rPr>
                <w:rFonts w:ascii="宋体" w:hAnsi="宋体" w:eastAsia="宋体" w:cs="宋体"/>
                <w:sz w:val="22"/>
                <w:szCs w:val="22"/>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339"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行政运行</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169.27</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169.27</w:t>
            </w:r>
          </w:p>
        </w:tc>
        <w:tc>
          <w:tcPr>
            <w:tcW w:w="1370" w:type="dxa"/>
            <w:vAlign w:val="top"/>
          </w:tcPr>
          <w:p>
            <w:pPr>
              <w:spacing w:before="103" w:line="185" w:lineRule="auto"/>
              <w:ind w:left="705"/>
              <w:rPr>
                <w:rFonts w:ascii="宋体" w:hAnsi="宋体" w:eastAsia="宋体" w:cs="宋体"/>
                <w:sz w:val="22"/>
                <w:szCs w:val="22"/>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319"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1031" w:type="dxa"/>
            <w:vAlign w:val="top"/>
          </w:tcPr>
          <w:p>
            <w:pPr>
              <w:spacing w:before="127" w:line="186" w:lineRule="auto"/>
              <w:ind w:left="23"/>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一般行政管理事务</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68.68</w:t>
            </w:r>
          </w:p>
        </w:tc>
        <w:tc>
          <w:tcPr>
            <w:tcW w:w="1291" w:type="dxa"/>
            <w:vAlign w:val="top"/>
          </w:tcPr>
          <w:p>
            <w:pPr>
              <w:spacing w:before="128" w:line="187" w:lineRule="auto"/>
              <w:ind w:left="638"/>
              <w:rPr>
                <w:rFonts w:ascii="宋体" w:hAnsi="宋体" w:eastAsia="宋体" w:cs="宋体"/>
                <w:sz w:val="22"/>
                <w:szCs w:val="22"/>
              </w:rPr>
            </w:pPr>
          </w:p>
        </w:tc>
        <w:tc>
          <w:tcPr>
            <w:tcW w:w="137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68.68</w:t>
            </w: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387"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04</w:t>
            </w:r>
          </w:p>
        </w:tc>
        <w:tc>
          <w:tcPr>
            <w:tcW w:w="1031" w:type="dxa"/>
            <w:vAlign w:val="top"/>
          </w:tcPr>
          <w:p>
            <w:pPr>
              <w:spacing w:before="118" w:line="186" w:lineRule="auto"/>
              <w:ind w:left="23"/>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公路建设</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268.00</w:t>
            </w:r>
          </w:p>
        </w:tc>
        <w:tc>
          <w:tcPr>
            <w:tcW w:w="1291" w:type="dxa"/>
            <w:vAlign w:val="top"/>
          </w:tcPr>
          <w:p>
            <w:pPr>
              <w:spacing w:before="118" w:line="186" w:lineRule="auto"/>
              <w:ind w:left="626"/>
              <w:rPr>
                <w:rFonts w:ascii="宋体" w:hAnsi="宋体" w:eastAsia="宋体" w:cs="宋体"/>
                <w:sz w:val="22"/>
                <w:szCs w:val="22"/>
              </w:rPr>
            </w:pPr>
          </w:p>
        </w:tc>
        <w:tc>
          <w:tcPr>
            <w:tcW w:w="137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268.00</w:t>
            </w: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339"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06</w:t>
            </w:r>
          </w:p>
        </w:tc>
        <w:tc>
          <w:tcPr>
            <w:tcW w:w="284" w:type="dxa"/>
            <w:vAlign w:val="top"/>
          </w:tcPr>
          <w:p>
            <w:pPr>
              <w:spacing w:before="101" w:line="186" w:lineRule="auto"/>
              <w:ind w:left="18"/>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01</w:t>
            </w:r>
          </w:p>
        </w:tc>
        <w:tc>
          <w:tcPr>
            <w:tcW w:w="1031" w:type="dxa"/>
            <w:vAlign w:val="top"/>
          </w:tcPr>
          <w:p>
            <w:pPr>
              <w:spacing w:before="101" w:line="186" w:lineRule="auto"/>
              <w:ind w:left="23"/>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512001</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车辆购置税用于公路等基础设施建设支出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30.00</w:t>
            </w:r>
          </w:p>
        </w:tc>
        <w:tc>
          <w:tcPr>
            <w:tcW w:w="1291" w:type="dxa"/>
            <w:vAlign w:val="top"/>
          </w:tcPr>
          <w:p>
            <w:pPr>
              <w:spacing w:before="101" w:line="186" w:lineRule="auto"/>
              <w:ind w:left="626"/>
              <w:rPr>
                <w:rFonts w:ascii="宋体" w:hAnsi="宋体" w:eastAsia="宋体" w:cs="宋体"/>
                <w:sz w:val="22"/>
                <w:szCs w:val="22"/>
              </w:rPr>
            </w:pPr>
          </w:p>
        </w:tc>
        <w:tc>
          <w:tcPr>
            <w:tcW w:w="137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30.00</w:t>
            </w: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4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3" w:type="dxa"/>
            <w:vAlign w:val="top"/>
          </w:tcPr>
          <w:p>
            <w:pPr>
              <w:spacing w:before="151" w:line="187" w:lineRule="auto"/>
              <w:ind w:left="35"/>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06</w:t>
            </w:r>
          </w:p>
        </w:tc>
        <w:tc>
          <w:tcPr>
            <w:tcW w:w="284" w:type="dxa"/>
            <w:vAlign w:val="top"/>
          </w:tcPr>
          <w:p>
            <w:pPr>
              <w:spacing w:before="152" w:line="185" w:lineRule="auto"/>
              <w:ind w:left="18"/>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02</w:t>
            </w:r>
          </w:p>
        </w:tc>
        <w:tc>
          <w:tcPr>
            <w:tcW w:w="1031" w:type="dxa"/>
            <w:vAlign w:val="top"/>
          </w:tcPr>
          <w:p>
            <w:pPr>
              <w:spacing w:before="151" w:line="186" w:lineRule="auto"/>
              <w:ind w:left="23"/>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512001</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车辆购置税用于农村公路建设支出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563.50</w:t>
            </w:r>
          </w:p>
        </w:tc>
        <w:tc>
          <w:tcPr>
            <w:tcW w:w="1291" w:type="dxa"/>
            <w:vAlign w:val="top"/>
          </w:tcPr>
          <w:p>
            <w:pPr>
              <w:spacing w:before="152" w:line="185" w:lineRule="auto"/>
              <w:ind w:left="733"/>
              <w:rPr>
                <w:rFonts w:ascii="宋体" w:hAnsi="宋体" w:eastAsia="宋体" w:cs="宋体"/>
                <w:sz w:val="22"/>
                <w:szCs w:val="22"/>
              </w:rPr>
            </w:pPr>
          </w:p>
        </w:tc>
        <w:tc>
          <w:tcPr>
            <w:tcW w:w="137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563.50</w:t>
            </w: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13"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3" w:type="dxa"/>
            <w:vAlign w:val="top"/>
          </w:tcPr>
          <w:p>
            <w:pPr>
              <w:spacing w:before="151" w:line="185" w:lineRule="auto"/>
              <w:ind w:left="2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99</w:t>
            </w:r>
          </w:p>
        </w:tc>
        <w:tc>
          <w:tcPr>
            <w:tcW w:w="284" w:type="dxa"/>
            <w:vAlign w:val="top"/>
          </w:tcPr>
          <w:p>
            <w:pPr>
              <w:spacing w:before="150" w:line="186" w:lineRule="auto"/>
              <w:ind w:left="18"/>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99</w:t>
            </w:r>
          </w:p>
        </w:tc>
        <w:tc>
          <w:tcPr>
            <w:tcW w:w="1031" w:type="dxa"/>
            <w:vAlign w:val="top"/>
          </w:tcPr>
          <w:p>
            <w:pPr>
              <w:spacing w:before="150" w:line="186" w:lineRule="auto"/>
              <w:ind w:left="23"/>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512001</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其他交通运输支出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299.70</w:t>
            </w:r>
          </w:p>
        </w:tc>
        <w:tc>
          <w:tcPr>
            <w:tcW w:w="1291" w:type="dxa"/>
            <w:vAlign w:val="top"/>
          </w:tcPr>
          <w:p>
            <w:pPr>
              <w:spacing w:before="151" w:line="185" w:lineRule="auto"/>
              <w:ind w:left="626"/>
              <w:rPr>
                <w:rFonts w:ascii="宋体" w:hAnsi="宋体" w:eastAsia="宋体" w:cs="宋体"/>
                <w:sz w:val="22"/>
                <w:szCs w:val="22"/>
              </w:rPr>
            </w:pPr>
          </w:p>
        </w:tc>
        <w:tc>
          <w:tcPr>
            <w:tcW w:w="137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299.70</w:t>
            </w: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221</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1031" w:type="dxa"/>
            <w:vAlign w:val="top"/>
          </w:tcPr>
          <w:p>
            <w:pPr>
              <w:spacing w:before="156" w:line="186" w:lineRule="auto"/>
              <w:ind w:left="23"/>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512001</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住房公积金</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23.32</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23.32</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229</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99</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99</w:t>
            </w:r>
          </w:p>
        </w:tc>
        <w:tc>
          <w:tcPr>
            <w:tcW w:w="1031" w:type="dxa"/>
            <w:vAlign w:val="top"/>
          </w:tcPr>
          <w:p>
            <w:pPr>
              <w:spacing w:before="156" w:line="186" w:lineRule="auto"/>
              <w:ind w:left="23"/>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512001</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60.00</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37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60.00</w:t>
            </w: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031" w:type="dxa"/>
            <w:vAlign w:val="top"/>
          </w:tcPr>
          <w:p>
            <w:pPr>
              <w:spacing w:before="156" w:line="186" w:lineRule="auto"/>
              <w:ind w:left="23"/>
              <w:rPr>
                <w:rFonts w:hint="eastAsia" w:ascii="宋体" w:hAnsi="宋体" w:eastAsia="宋体" w:cs="宋体"/>
                <w:sz w:val="22"/>
                <w:szCs w:val="22"/>
                <w:lang w:val="en-US" w:eastAsia="zh-CN"/>
              </w:rPr>
            </w:pP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夹江县公路建设服务中心</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852.44</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301.91</w:t>
            </w:r>
          </w:p>
        </w:tc>
        <w:tc>
          <w:tcPr>
            <w:tcW w:w="137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550.53</w:t>
            </w: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205</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03</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512002</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培训支出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4.52</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4.52</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208</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512002</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机关事业单位基本养老保险缴费支出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25.40</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25.40</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210</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512002</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事业单位医疗</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10.35</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10.35</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06</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512002</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公路养护</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784.01</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233.47</w:t>
            </w:r>
          </w:p>
        </w:tc>
        <w:tc>
          <w:tcPr>
            <w:tcW w:w="137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550.53</w:t>
            </w: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221</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512002</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住房公积金</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28.16</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28.16</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夹江县运输中心</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205</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03</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512003</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培训支出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3.81</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3.81</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208</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512003</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行政单位离退休</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11.65</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11.65</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208</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512003</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机关事业单位基本养老保险缴费支出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21.31</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21.31</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208</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06</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512003</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机关事业单位职业年金缴费支出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4.04</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4.04</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210</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512003</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行政单位医疗</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8.35</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8.35</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210</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03</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512003</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公务员医疗补助</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4.50</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4.50</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512003</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公路运输管理</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197.73</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179.56</w:t>
            </w:r>
          </w:p>
        </w:tc>
        <w:tc>
          <w:tcPr>
            <w:tcW w:w="137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18.18</w:t>
            </w: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221</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512003</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住房公积金</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24.38</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24.38</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夹江县交通运输综合行政执法大队</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376.46</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278.17</w:t>
            </w:r>
          </w:p>
        </w:tc>
        <w:tc>
          <w:tcPr>
            <w:tcW w:w="137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98.29</w:t>
            </w: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205</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03</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512004</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培训支出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4.11</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4.11</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208</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512004</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机关事业单位基本养老保险缴费支出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23.75</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23.75</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208</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06</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512004</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机关事业单位职业年金缴费支出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5.16</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5.16</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210</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512004</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行政单位医疗</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0.67</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0.67</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210</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512004</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事业单位医疗</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9.05</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9.05</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210</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03</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512004</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公务员医疗补助</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5.70</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5.70</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512004</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公路运输管理</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300.63</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202.34</w:t>
            </w:r>
          </w:p>
        </w:tc>
        <w:tc>
          <w:tcPr>
            <w:tcW w:w="137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98.29</w:t>
            </w: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221</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512004</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住房公积金</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27.40</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27.40</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夹江县港航中心</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61.53</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61.53</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205</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03</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512007</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培训支出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0.89</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0.89</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208</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512007</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机关事业单位基本养老保险缴费支出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5.18</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5.18</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210</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512007</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行政单位医疗</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2.09</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2.09</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210</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03</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512007</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公务员医疗补助</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1.20</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1.20</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31</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512007</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海事管理</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45.93</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45.93</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221</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512007</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住房公积金</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6.25</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6.25</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漹城交通站</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31.90</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31.90</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205</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03</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512101</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培训支出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0.53</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0.53</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208</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512101</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机关事业单位基本养老保险缴费支出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3.06</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3.06</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210</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512101</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事业单位医疗</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1.24</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1.24</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06</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512101</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公路养护</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23.40</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23.40</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221</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512101</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住房公积金</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3.66</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3.66</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青衣交通站</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28.10</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28.10</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205</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03</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512102</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培训支出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0.33</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0.33</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208</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512102</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机关事业单位基本养老保险缴费支出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2.82</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2.82</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210</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512102</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事业单位医疗</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1.23</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1.23</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06</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512102</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公路养护</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20.76</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20.76</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221</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512102</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住房公积金</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2.96</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2.96</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新场交通站</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52.52</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52.52</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205</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03</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512103</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培训支出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0.84</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0.84</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208</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512103</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机关事业单位基本养老保险缴费支出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5.05</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5.05</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210</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1031" w:type="dxa"/>
            <w:vAlign w:val="center"/>
          </w:tcPr>
          <w:tbl>
            <w:tblPr>
              <w:tblW w:w="2026" w:type="dxa"/>
              <w:tblInd w:w="-20" w:type="dxa"/>
              <w:shd w:val="clear"/>
              <w:tblLayout w:type="fixed"/>
              <w:tblCellMar>
                <w:top w:w="0" w:type="dxa"/>
                <w:left w:w="0" w:type="dxa"/>
                <w:bottom w:w="0" w:type="dxa"/>
                <w:right w:w="0" w:type="dxa"/>
              </w:tblCellMar>
            </w:tblPr>
            <w:tblGrid>
              <w:gridCol w:w="2026"/>
            </w:tblGrid>
            <w:tr>
              <w:tblPrEx>
                <w:shd w:val="clear"/>
                <w:tblCellMar>
                  <w:top w:w="0" w:type="dxa"/>
                  <w:left w:w="0" w:type="dxa"/>
                  <w:bottom w:w="0" w:type="dxa"/>
                  <w:right w:w="0" w:type="dxa"/>
                </w:tblCellMar>
              </w:tblPrEx>
              <w:trPr>
                <w:trHeight w:val="398" w:hRule="atLeast"/>
              </w:trPr>
              <w:tc>
                <w:tcPr>
                  <w:tcW w:w="202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512103</w:t>
                  </w:r>
                </w:p>
              </w:tc>
            </w:tr>
          </w:tbl>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事业单位医疗</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2.05</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2.05</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06</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512103</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公路养护</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38.63</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38.63</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221</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512103</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住房公积金</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5.95</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5.95</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甘江交通站</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62.54</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62.54</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205</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03</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512104</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培训支出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0.85</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0.85</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208</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512104</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机关事业单位基本养老保险缴费支出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6.21</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6.21</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210</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512104</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事业单位医疗</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2.48</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2.48</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06</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512104</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公路养护</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46.29</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46.29</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221</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512104</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住房公积金</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6.70</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6.70</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木城交通站</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37.59</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37.59</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205</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03</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512105</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培训支出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0.67</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0.67</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208</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512105</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机关事业单位基本养老保险缴费支出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5.06</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5.06</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210</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512105</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事业单位医疗</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2.07</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2.07</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06</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512105</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公路养护</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37.59</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37.59</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221</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512105</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住房公积金</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5.55</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5.55</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吴场交通站</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66.09</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66.09</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205</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03</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512106</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培训支出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1.07</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1.07</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208</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512106</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机关事业单位基本养老保险缴费支出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6.42</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6.42</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210</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512106</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事业单位医疗</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2.54</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2.54</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06</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512106</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公路养护</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48.72</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48.72</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221</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512106</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住房公积金</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7.34</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7.34</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黄土交通站</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42.25</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42.25</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205</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03</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512107</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培训支出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0.67</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0.67</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208</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512107</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机关事业单位基本养老保险缴费支出</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4.05</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4.05</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41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210</w:t>
            </w:r>
          </w:p>
        </w:tc>
        <w:tc>
          <w:tcPr>
            <w:tcW w:w="28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284"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10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512107</w:t>
            </w:r>
          </w:p>
        </w:tc>
        <w:tc>
          <w:tcPr>
            <w:tcW w:w="400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事业单位医疗</w:t>
            </w:r>
          </w:p>
        </w:tc>
        <w:tc>
          <w:tcPr>
            <w:tcW w:w="11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1.66</w:t>
            </w:r>
          </w:p>
        </w:tc>
        <w:tc>
          <w:tcPr>
            <w:tcW w:w="129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1.66</w:t>
            </w: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06</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512107</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公路养护</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30.99</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30.99</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221</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512107</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住房公积金</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4.88</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4.88</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马村交通站</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43.79</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43.79</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205</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03</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512108</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培训支出</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0.72</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0.72</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208</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512108</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机关事业单位基本养老保险缴费支出</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4.24</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4.24</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210</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512108</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事业单位医疗</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1.68</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1.68</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06</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512108</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公路养护</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32.20</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32.20</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221</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512108</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住房公积金</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4.95</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4.95</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华头交通站</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33.16</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33.16</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205</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03</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512109</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培训支出</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0.56</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0.56</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208</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512109</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机关事业单位基本养老保险缴费支出</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3.24</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3.24</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210</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512109</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事业单位医疗</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1.26</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1.26</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06</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512109</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公路养护</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24.51</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24.51</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0" w:hRule="atLeast"/>
        </w:trPr>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221</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02</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512109</w:t>
            </w:r>
          </w:p>
        </w:tc>
        <w:tc>
          <w:tcPr>
            <w:tcW w:w="0" w:type="auto"/>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住房公积金</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3.59</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3.59</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bl>
    <w:p>
      <w:pPr>
        <w:rPr>
          <w:rFonts w:ascii="Arial"/>
          <w:sz w:val="21"/>
        </w:rPr>
      </w:pPr>
    </w:p>
    <w:p>
      <w:pPr>
        <w:sectPr>
          <w:footerReference r:id="rId18" w:type="default"/>
          <w:pgSz w:w="16839" w:h="11906"/>
          <w:pgMar w:top="1012" w:right="1420" w:bottom="856" w:left="1420" w:header="0" w:footer="575" w:gutter="0"/>
          <w:cols w:space="720" w:num="1"/>
        </w:sect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71" w:line="212" w:lineRule="auto"/>
        <w:ind w:right="380"/>
        <w:jc w:val="right"/>
        <w:rPr>
          <w:rFonts w:ascii="宋体" w:hAnsi="宋体" w:eastAsia="宋体" w:cs="宋体"/>
          <w:sz w:val="22"/>
          <w:szCs w:val="22"/>
        </w:rPr>
      </w:pPr>
      <w:r>
        <w:rPr>
          <w:rFonts w:ascii="宋体" w:hAnsi="宋体" w:eastAsia="宋体" w:cs="宋体"/>
          <w:spacing w:val="-11"/>
          <w:sz w:val="22"/>
          <w:szCs w:val="22"/>
        </w:rPr>
        <w:t>单</w:t>
      </w:r>
      <w:r>
        <w:rPr>
          <w:rFonts w:ascii="宋体" w:hAnsi="宋体" w:eastAsia="宋体" w:cs="宋体"/>
          <w:spacing w:val="-7"/>
          <w:sz w:val="22"/>
          <w:szCs w:val="22"/>
        </w:rPr>
        <w:t>位公开表 2</w:t>
      </w:r>
    </w:p>
    <w:tbl>
      <w:tblPr>
        <w:tblStyle w:val="30"/>
        <w:tblW w:w="13992" w:type="dxa"/>
        <w:tblInd w:w="2" w:type="dxa"/>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
      <w:tblGrid>
        <w:gridCol w:w="3035"/>
        <w:gridCol w:w="1112"/>
        <w:gridCol w:w="3575"/>
        <w:gridCol w:w="1112"/>
        <w:gridCol w:w="1477"/>
        <w:gridCol w:w="1718"/>
        <w:gridCol w:w="1963"/>
      </w:tblGrid>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662" w:hRule="atLeast"/>
        </w:trPr>
        <w:tc>
          <w:tcPr>
            <w:tcW w:w="13992" w:type="dxa"/>
            <w:gridSpan w:val="7"/>
            <w:tcBorders>
              <w:top w:val="single" w:color="FFFFFF" w:sz="2" w:space="0"/>
              <w:left w:val="single" w:color="FFFFFF" w:sz="2" w:space="0"/>
              <w:bottom w:val="single" w:color="FFFFFF" w:sz="2" w:space="0"/>
              <w:right w:val="single" w:color="FFFFFF" w:sz="2" w:space="0"/>
            </w:tcBorders>
            <w:vAlign w:val="top"/>
          </w:tcPr>
          <w:p>
            <w:pPr>
              <w:spacing w:before="180" w:line="227" w:lineRule="auto"/>
              <w:ind w:left="5403"/>
              <w:rPr>
                <w:rFonts w:ascii="黑体" w:hAnsi="黑体" w:eastAsia="黑体" w:cs="黑体"/>
                <w:sz w:val="31"/>
                <w:szCs w:val="31"/>
              </w:rPr>
            </w:pPr>
            <w:r>
              <w:rPr>
                <w:rFonts w:ascii="黑体" w:hAnsi="黑体" w:eastAsia="黑体" w:cs="黑体"/>
                <w:spacing w:val="14"/>
                <w:sz w:val="31"/>
                <w:szCs w:val="31"/>
                <w14:textOutline w14:w="5793" w14:cap="sq" w14:cmpd="sng">
                  <w14:solidFill>
                    <w14:srgbClr w14:val="000000"/>
                  </w14:solidFill>
                  <w14:prstDash w14:val="solid"/>
                  <w14:bevel/>
                </w14:textOutline>
              </w:rPr>
              <w:t>财</w:t>
            </w:r>
            <w:r>
              <w:rPr>
                <w:rFonts w:ascii="黑体" w:hAnsi="黑体" w:eastAsia="黑体" w:cs="黑体"/>
                <w:spacing w:val="9"/>
                <w:sz w:val="31"/>
                <w:szCs w:val="31"/>
                <w14:textOutline w14:w="5793" w14:cap="sq" w14:cmpd="sng">
                  <w14:solidFill>
                    <w14:srgbClr w14:val="000000"/>
                  </w14:solidFill>
                  <w14:prstDash w14:val="solid"/>
                  <w14:bevel/>
                </w14:textOutline>
              </w:rPr>
              <w:t>政拨款收支预算总表</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11" w:hRule="atLeast"/>
        </w:trPr>
        <w:tc>
          <w:tcPr>
            <w:tcW w:w="4147" w:type="dxa"/>
            <w:gridSpan w:val="2"/>
            <w:tcBorders>
              <w:top w:val="single" w:color="FFFFFF" w:sz="2" w:space="0"/>
              <w:left w:val="single" w:color="FFFFFF" w:sz="2" w:space="0"/>
              <w:right w:val="single" w:color="FFFFFF" w:sz="2" w:space="0"/>
            </w:tcBorders>
            <w:vAlign w:val="top"/>
          </w:tcPr>
          <w:p>
            <w:pPr>
              <w:spacing w:before="101" w:line="222" w:lineRule="auto"/>
              <w:ind w:left="25"/>
              <w:rPr>
                <w:rFonts w:hint="eastAsia" w:ascii="宋体" w:hAnsi="宋体" w:eastAsia="宋体" w:cs="宋体"/>
                <w:sz w:val="22"/>
                <w:szCs w:val="22"/>
                <w:lang w:eastAsia="zh-CN"/>
              </w:rPr>
            </w:pPr>
            <w:r>
              <w:rPr>
                <w:rFonts w:ascii="宋体" w:hAnsi="宋体" w:eastAsia="宋体" w:cs="宋体"/>
                <w:spacing w:val="-1"/>
                <w:sz w:val="22"/>
                <w:szCs w:val="22"/>
              </w:rPr>
              <w:t>单位：</w:t>
            </w:r>
            <w:r>
              <w:rPr>
                <w:rFonts w:hint="eastAsia" w:ascii="宋体" w:hAnsi="宋体" w:eastAsia="宋体" w:cs="宋体"/>
                <w:spacing w:val="-1"/>
                <w:sz w:val="22"/>
                <w:szCs w:val="22"/>
                <w:lang w:eastAsia="zh-CN"/>
              </w:rPr>
              <w:t>夹江县交通运输局</w:t>
            </w:r>
          </w:p>
        </w:tc>
        <w:tc>
          <w:tcPr>
            <w:tcW w:w="7882" w:type="dxa"/>
            <w:gridSpan w:val="4"/>
            <w:tcBorders>
              <w:top w:val="single" w:color="FFFFFF" w:sz="2" w:space="0"/>
              <w:left w:val="single" w:color="FFFFFF" w:sz="2" w:space="0"/>
              <w:right w:val="single" w:color="FFFFFF" w:sz="2" w:space="0"/>
            </w:tcBorders>
            <w:vAlign w:val="top"/>
          </w:tcPr>
          <w:p>
            <w:pPr>
              <w:rPr>
                <w:rFonts w:ascii="Arial"/>
                <w:sz w:val="21"/>
              </w:rPr>
            </w:pPr>
          </w:p>
        </w:tc>
        <w:tc>
          <w:tcPr>
            <w:tcW w:w="1963" w:type="dxa"/>
            <w:tcBorders>
              <w:top w:val="single" w:color="FFFFFF" w:sz="2" w:space="0"/>
              <w:left w:val="single" w:color="FFFFFF" w:sz="2" w:space="0"/>
              <w:right w:val="single" w:color="FFFFFF" w:sz="2" w:space="0"/>
            </w:tcBorders>
            <w:vAlign w:val="top"/>
          </w:tcPr>
          <w:p>
            <w:pPr>
              <w:spacing w:before="102" w:line="221" w:lineRule="auto"/>
              <w:ind w:left="219"/>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07" w:hRule="atLeast"/>
        </w:trPr>
        <w:tc>
          <w:tcPr>
            <w:tcW w:w="4147" w:type="dxa"/>
            <w:gridSpan w:val="2"/>
            <w:shd w:val="clear" w:color="auto" w:fill="EFF2F7"/>
            <w:vAlign w:val="top"/>
          </w:tcPr>
          <w:p>
            <w:pPr>
              <w:spacing w:before="149" w:line="221" w:lineRule="auto"/>
              <w:ind w:left="1646"/>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收</w:t>
            </w:r>
            <w:r>
              <w:rPr>
                <w:rFonts w:ascii="宋体" w:hAnsi="宋体" w:eastAsia="宋体" w:cs="宋体"/>
                <w:spacing w:val="-1"/>
                <w:sz w:val="22"/>
                <w:szCs w:val="22"/>
              </w:rPr>
              <w:t xml:space="preserve">    </w:t>
            </w:r>
            <w:r>
              <w:rPr>
                <w:rFonts w:ascii="宋体" w:hAnsi="宋体" w:eastAsia="宋体" w:cs="宋体"/>
                <w:spacing w:val="-1"/>
                <w:sz w:val="22"/>
                <w:szCs w:val="22"/>
                <w14:textOutline w14:w="4013" w14:cap="sq" w14:cmpd="sng">
                  <w14:solidFill>
                    <w14:srgbClr w14:val="000000"/>
                  </w14:solidFill>
                  <w14:prstDash w14:val="solid"/>
                  <w14:bevel/>
                </w14:textOutline>
              </w:rPr>
              <w:t>入</w:t>
            </w:r>
          </w:p>
        </w:tc>
        <w:tc>
          <w:tcPr>
            <w:tcW w:w="9845" w:type="dxa"/>
            <w:gridSpan w:val="5"/>
            <w:shd w:val="clear" w:color="auto" w:fill="EFF2F7"/>
            <w:vAlign w:val="top"/>
          </w:tcPr>
          <w:p>
            <w:pPr>
              <w:spacing w:before="148" w:line="222" w:lineRule="auto"/>
              <w:ind w:left="4486"/>
              <w:rPr>
                <w:rFonts w:ascii="宋体" w:hAnsi="宋体" w:eastAsia="宋体" w:cs="宋体"/>
                <w:sz w:val="22"/>
                <w:szCs w:val="22"/>
              </w:rPr>
            </w:pPr>
            <w:r>
              <w:rPr>
                <w:rFonts w:ascii="宋体" w:hAnsi="宋体" w:eastAsia="宋体" w:cs="宋体"/>
                <w:spacing w:val="5"/>
                <w:sz w:val="22"/>
                <w:szCs w:val="22"/>
                <w14:textOutline w14:w="4013" w14:cap="sq" w14:cmpd="sng">
                  <w14:solidFill>
                    <w14:srgbClr w14:val="000000"/>
                  </w14:solidFill>
                  <w14:prstDash w14:val="solid"/>
                  <w14:bevel/>
                </w14:textOutline>
              </w:rPr>
              <w:t>支</w:t>
            </w:r>
            <w:r>
              <w:rPr>
                <w:rFonts w:ascii="宋体" w:hAnsi="宋体" w:eastAsia="宋体" w:cs="宋体"/>
                <w:spacing w:val="3"/>
                <w:sz w:val="22"/>
                <w:szCs w:val="22"/>
              </w:rPr>
              <w:t xml:space="preserve">    </w:t>
            </w:r>
            <w:r>
              <w:rPr>
                <w:rFonts w:ascii="宋体" w:hAnsi="宋体" w:eastAsia="宋体" w:cs="宋体"/>
                <w:spacing w:val="3"/>
                <w:sz w:val="22"/>
                <w:szCs w:val="22"/>
                <w14:textOutline w14:w="4013" w14:cap="sq" w14:cmpd="sng">
                  <w14:solidFill>
                    <w14:srgbClr w14:val="000000"/>
                  </w14:solidFill>
                  <w14:prstDash w14:val="solid"/>
                  <w14:bevel/>
                </w14:textOutline>
              </w:rPr>
              <w:t>出</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07" w:hRule="atLeast"/>
        </w:trPr>
        <w:tc>
          <w:tcPr>
            <w:tcW w:w="3035" w:type="dxa"/>
            <w:shd w:val="clear" w:color="auto" w:fill="EFF2F7"/>
            <w:vAlign w:val="top"/>
          </w:tcPr>
          <w:p>
            <w:pPr>
              <w:spacing w:before="150" w:line="222" w:lineRule="auto"/>
              <w:ind w:left="1087"/>
              <w:rPr>
                <w:rFonts w:ascii="宋体" w:hAnsi="宋体" w:eastAsia="宋体" w:cs="宋体"/>
                <w:sz w:val="22"/>
                <w:szCs w:val="22"/>
              </w:rPr>
            </w:pPr>
            <w:r>
              <w:rPr>
                <w:rFonts w:ascii="宋体" w:hAnsi="宋体" w:eastAsia="宋体" w:cs="宋体"/>
                <w:spacing w:val="8"/>
                <w:sz w:val="22"/>
                <w:szCs w:val="22"/>
                <w14:textOutline w14:w="4013" w14:cap="sq" w14:cmpd="sng">
                  <w14:solidFill>
                    <w14:srgbClr w14:val="000000"/>
                  </w14:solidFill>
                  <w14:prstDash w14:val="solid"/>
                  <w14:bevel/>
                </w14:textOutline>
              </w:rPr>
              <w:t>项</w:t>
            </w:r>
            <w:r>
              <w:rPr>
                <w:rFonts w:ascii="宋体" w:hAnsi="宋体" w:eastAsia="宋体" w:cs="宋体"/>
                <w:spacing w:val="6"/>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目</w:t>
            </w:r>
          </w:p>
        </w:tc>
        <w:tc>
          <w:tcPr>
            <w:tcW w:w="1112" w:type="dxa"/>
            <w:shd w:val="clear" w:color="auto" w:fill="EFF2F7"/>
            <w:vAlign w:val="top"/>
          </w:tcPr>
          <w:p>
            <w:pPr>
              <w:spacing w:before="150" w:line="221" w:lineRule="auto"/>
              <w:ind w:left="232"/>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预</w:t>
            </w:r>
            <w:r>
              <w:rPr>
                <w:rFonts w:ascii="宋体" w:hAnsi="宋体" w:eastAsia="宋体" w:cs="宋体"/>
                <w:spacing w:val="-2"/>
                <w:sz w:val="22"/>
                <w:szCs w:val="22"/>
                <w14:textOutline w14:w="4013" w14:cap="sq" w14:cmpd="sng">
                  <w14:solidFill>
                    <w14:srgbClr w14:val="000000"/>
                  </w14:solidFill>
                  <w14:prstDash w14:val="solid"/>
                  <w14:bevel/>
                </w14:textOutline>
              </w:rPr>
              <w:t>算数</w:t>
            </w:r>
          </w:p>
        </w:tc>
        <w:tc>
          <w:tcPr>
            <w:tcW w:w="3575" w:type="dxa"/>
            <w:shd w:val="clear" w:color="auto" w:fill="EFF2F7"/>
            <w:vAlign w:val="top"/>
          </w:tcPr>
          <w:p>
            <w:pPr>
              <w:spacing w:before="150" w:line="222" w:lineRule="auto"/>
              <w:ind w:left="1356"/>
              <w:rPr>
                <w:rFonts w:ascii="宋体" w:hAnsi="宋体" w:eastAsia="宋体" w:cs="宋体"/>
                <w:sz w:val="22"/>
                <w:szCs w:val="22"/>
              </w:rPr>
            </w:pPr>
            <w:r>
              <w:rPr>
                <w:rFonts w:ascii="宋体" w:hAnsi="宋体" w:eastAsia="宋体" w:cs="宋体"/>
                <w:spacing w:val="8"/>
                <w:sz w:val="22"/>
                <w:szCs w:val="22"/>
                <w14:textOutline w14:w="4013" w14:cap="sq" w14:cmpd="sng">
                  <w14:solidFill>
                    <w14:srgbClr w14:val="000000"/>
                  </w14:solidFill>
                  <w14:prstDash w14:val="solid"/>
                  <w14:bevel/>
                </w14:textOutline>
              </w:rPr>
              <w:t>项</w:t>
            </w:r>
            <w:r>
              <w:rPr>
                <w:rFonts w:ascii="宋体" w:hAnsi="宋体" w:eastAsia="宋体" w:cs="宋体"/>
                <w:spacing w:val="6"/>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目</w:t>
            </w:r>
          </w:p>
        </w:tc>
        <w:tc>
          <w:tcPr>
            <w:tcW w:w="1112" w:type="dxa"/>
            <w:shd w:val="clear" w:color="auto" w:fill="EFF2F7"/>
            <w:vAlign w:val="top"/>
          </w:tcPr>
          <w:p>
            <w:pPr>
              <w:spacing w:before="151" w:line="222" w:lineRule="auto"/>
              <w:ind w:left="342"/>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1477" w:type="dxa"/>
            <w:shd w:val="clear" w:color="auto" w:fill="EFF2F7"/>
            <w:vAlign w:val="top"/>
          </w:tcPr>
          <w:p>
            <w:pPr>
              <w:spacing w:before="150" w:line="221" w:lineRule="auto"/>
              <w:ind w:left="89"/>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一般</w:t>
            </w:r>
            <w:r>
              <w:rPr>
                <w:rFonts w:ascii="宋体" w:hAnsi="宋体" w:eastAsia="宋体" w:cs="宋体"/>
                <w:spacing w:val="-1"/>
                <w:sz w:val="22"/>
                <w:szCs w:val="22"/>
                <w14:textOutline w14:w="4013" w14:cap="sq" w14:cmpd="sng">
                  <w14:solidFill>
                    <w14:srgbClr w14:val="000000"/>
                  </w14:solidFill>
                  <w14:prstDash w14:val="solid"/>
                  <w14:bevel/>
                </w14:textOutline>
              </w:rPr>
              <w:t>公共预算</w:t>
            </w:r>
          </w:p>
        </w:tc>
        <w:tc>
          <w:tcPr>
            <w:tcW w:w="1718" w:type="dxa"/>
            <w:shd w:val="clear" w:color="auto" w:fill="EFF2F7"/>
            <w:vAlign w:val="top"/>
          </w:tcPr>
          <w:p>
            <w:pPr>
              <w:spacing w:before="151" w:line="220" w:lineRule="auto"/>
              <w:ind w:left="96"/>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政府</w:t>
            </w:r>
            <w:r>
              <w:rPr>
                <w:rFonts w:ascii="宋体" w:hAnsi="宋体" w:eastAsia="宋体" w:cs="宋体"/>
                <w:sz w:val="22"/>
                <w:szCs w:val="22"/>
                <w14:textOutline w14:w="4013" w14:cap="sq" w14:cmpd="sng">
                  <w14:solidFill>
                    <w14:srgbClr w14:val="000000"/>
                  </w14:solidFill>
                  <w14:prstDash w14:val="solid"/>
                  <w14:bevel/>
                </w14:textOutline>
              </w:rPr>
              <w:t>性基金预算</w:t>
            </w:r>
          </w:p>
        </w:tc>
        <w:tc>
          <w:tcPr>
            <w:tcW w:w="1963" w:type="dxa"/>
            <w:shd w:val="clear" w:color="auto" w:fill="EFF2F7"/>
            <w:vAlign w:val="top"/>
          </w:tcPr>
          <w:p>
            <w:pPr>
              <w:spacing w:before="151" w:line="220" w:lineRule="auto"/>
              <w:ind w:left="128"/>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国有资本经营预算</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trPr>
        <w:tc>
          <w:tcPr>
            <w:tcW w:w="303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一、本年收入</w:t>
            </w:r>
          </w:p>
        </w:tc>
        <w:tc>
          <w:tcPr>
            <w:tcW w:w="1112"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2,377.56</w:t>
            </w:r>
          </w:p>
        </w:tc>
        <w:tc>
          <w:tcPr>
            <w:tcW w:w="357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一、本年支出</w:t>
            </w:r>
          </w:p>
        </w:tc>
        <w:tc>
          <w:tcPr>
            <w:tcW w:w="1112"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3,507.69</w:t>
            </w:r>
          </w:p>
        </w:tc>
        <w:tc>
          <w:tcPr>
            <w:tcW w:w="147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3,507.69</w:t>
            </w:r>
          </w:p>
        </w:tc>
        <w:tc>
          <w:tcPr>
            <w:tcW w:w="1718" w:type="dxa"/>
            <w:vAlign w:val="top"/>
          </w:tcPr>
          <w:p>
            <w:pPr>
              <w:rPr>
                <w:rFonts w:ascii="Arial"/>
                <w:sz w:val="21"/>
              </w:rPr>
            </w:pPr>
          </w:p>
        </w:tc>
        <w:tc>
          <w:tcPr>
            <w:tcW w:w="1963"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5" w:hRule="atLeast"/>
        </w:trPr>
        <w:tc>
          <w:tcPr>
            <w:tcW w:w="303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一般公共预算拨款收入</w:t>
            </w:r>
          </w:p>
        </w:tc>
        <w:tc>
          <w:tcPr>
            <w:tcW w:w="1112"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2,377.56</w:t>
            </w:r>
          </w:p>
        </w:tc>
        <w:tc>
          <w:tcPr>
            <w:tcW w:w="357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教育支出</w:t>
            </w:r>
          </w:p>
        </w:tc>
        <w:tc>
          <w:tcPr>
            <w:tcW w:w="1112"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23.05</w:t>
            </w:r>
          </w:p>
        </w:tc>
        <w:tc>
          <w:tcPr>
            <w:tcW w:w="147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23.05</w:t>
            </w:r>
          </w:p>
        </w:tc>
        <w:tc>
          <w:tcPr>
            <w:tcW w:w="1718" w:type="dxa"/>
            <w:vAlign w:val="top"/>
          </w:tcPr>
          <w:p>
            <w:pPr>
              <w:rPr>
                <w:rFonts w:ascii="Arial"/>
                <w:sz w:val="21"/>
              </w:rPr>
            </w:pPr>
          </w:p>
        </w:tc>
        <w:tc>
          <w:tcPr>
            <w:tcW w:w="1963"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trPr>
        <w:tc>
          <w:tcPr>
            <w:tcW w:w="303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国有资本经营预算拨款收入</w:t>
            </w:r>
          </w:p>
        </w:tc>
        <w:tc>
          <w:tcPr>
            <w:tcW w:w="1112" w:type="dxa"/>
            <w:vAlign w:val="top"/>
          </w:tcPr>
          <w:p>
            <w:pPr>
              <w:rPr>
                <w:rFonts w:ascii="Arial"/>
                <w:sz w:val="21"/>
              </w:rPr>
            </w:pPr>
          </w:p>
        </w:tc>
        <w:tc>
          <w:tcPr>
            <w:tcW w:w="357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社会保障和就业支出</w:t>
            </w:r>
          </w:p>
        </w:tc>
        <w:tc>
          <w:tcPr>
            <w:tcW w:w="1112"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167.69</w:t>
            </w:r>
          </w:p>
        </w:tc>
        <w:tc>
          <w:tcPr>
            <w:tcW w:w="147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167.69</w:t>
            </w:r>
          </w:p>
        </w:tc>
        <w:tc>
          <w:tcPr>
            <w:tcW w:w="1718" w:type="dxa"/>
            <w:vAlign w:val="top"/>
          </w:tcPr>
          <w:p>
            <w:pPr>
              <w:rPr>
                <w:rFonts w:ascii="Arial"/>
                <w:sz w:val="21"/>
              </w:rPr>
            </w:pPr>
          </w:p>
        </w:tc>
        <w:tc>
          <w:tcPr>
            <w:tcW w:w="1963"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50" w:hRule="atLeast"/>
        </w:trPr>
        <w:tc>
          <w:tcPr>
            <w:tcW w:w="303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国有资本经营预算拨款收入</w:t>
            </w:r>
          </w:p>
        </w:tc>
        <w:tc>
          <w:tcPr>
            <w:tcW w:w="1112" w:type="dxa"/>
            <w:vAlign w:val="top"/>
          </w:tcPr>
          <w:p>
            <w:pPr>
              <w:rPr>
                <w:rFonts w:ascii="Arial"/>
                <w:sz w:val="21"/>
              </w:rPr>
            </w:pPr>
          </w:p>
        </w:tc>
        <w:tc>
          <w:tcPr>
            <w:tcW w:w="357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卫生健康支出</w:t>
            </w:r>
          </w:p>
        </w:tc>
        <w:tc>
          <w:tcPr>
            <w:tcW w:w="1112"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71.33</w:t>
            </w:r>
          </w:p>
        </w:tc>
        <w:tc>
          <w:tcPr>
            <w:tcW w:w="147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71.33</w:t>
            </w:r>
          </w:p>
        </w:tc>
        <w:tc>
          <w:tcPr>
            <w:tcW w:w="1718" w:type="dxa"/>
            <w:vAlign w:val="top"/>
          </w:tcPr>
          <w:p>
            <w:pPr>
              <w:rPr>
                <w:rFonts w:ascii="Arial"/>
                <w:sz w:val="21"/>
              </w:rPr>
            </w:pPr>
          </w:p>
        </w:tc>
        <w:tc>
          <w:tcPr>
            <w:tcW w:w="1963"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trPr>
        <w:tc>
          <w:tcPr>
            <w:tcW w:w="303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二、上年结转</w:t>
            </w:r>
          </w:p>
        </w:tc>
        <w:tc>
          <w:tcPr>
            <w:tcW w:w="1112"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1,130.13</w:t>
            </w:r>
          </w:p>
        </w:tc>
        <w:tc>
          <w:tcPr>
            <w:tcW w:w="357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交通运输支出</w:t>
            </w:r>
          </w:p>
        </w:tc>
        <w:tc>
          <w:tcPr>
            <w:tcW w:w="1112"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3,030.54</w:t>
            </w:r>
          </w:p>
        </w:tc>
        <w:tc>
          <w:tcPr>
            <w:tcW w:w="147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3,030.54</w:t>
            </w:r>
          </w:p>
        </w:tc>
        <w:tc>
          <w:tcPr>
            <w:tcW w:w="1718" w:type="dxa"/>
            <w:vAlign w:val="top"/>
          </w:tcPr>
          <w:p>
            <w:pPr>
              <w:rPr>
                <w:rFonts w:ascii="Arial"/>
                <w:sz w:val="21"/>
              </w:rPr>
            </w:pPr>
          </w:p>
        </w:tc>
        <w:tc>
          <w:tcPr>
            <w:tcW w:w="1963"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trPr>
        <w:tc>
          <w:tcPr>
            <w:tcW w:w="303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一般公共预算拨款收入</w:t>
            </w:r>
          </w:p>
        </w:tc>
        <w:tc>
          <w:tcPr>
            <w:tcW w:w="1112"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1,130.13</w:t>
            </w:r>
          </w:p>
        </w:tc>
        <w:tc>
          <w:tcPr>
            <w:tcW w:w="357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住房保障支出</w:t>
            </w:r>
          </w:p>
        </w:tc>
        <w:tc>
          <w:tcPr>
            <w:tcW w:w="1112"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155.09</w:t>
            </w:r>
          </w:p>
        </w:tc>
        <w:tc>
          <w:tcPr>
            <w:tcW w:w="147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155.09</w:t>
            </w:r>
          </w:p>
        </w:tc>
        <w:tc>
          <w:tcPr>
            <w:tcW w:w="1718" w:type="dxa"/>
            <w:vAlign w:val="top"/>
          </w:tcPr>
          <w:p>
            <w:pPr>
              <w:rPr>
                <w:rFonts w:ascii="Arial"/>
                <w:sz w:val="21"/>
              </w:rPr>
            </w:pPr>
          </w:p>
        </w:tc>
        <w:tc>
          <w:tcPr>
            <w:tcW w:w="1963"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5" w:hRule="atLeast"/>
        </w:trPr>
        <w:tc>
          <w:tcPr>
            <w:tcW w:w="303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政府性基金预算拨款收入</w:t>
            </w:r>
          </w:p>
        </w:tc>
        <w:tc>
          <w:tcPr>
            <w:tcW w:w="1112" w:type="dxa"/>
            <w:vAlign w:val="top"/>
          </w:tcPr>
          <w:p>
            <w:pPr>
              <w:rPr>
                <w:rFonts w:ascii="Arial"/>
                <w:sz w:val="21"/>
              </w:rPr>
            </w:pPr>
          </w:p>
        </w:tc>
        <w:tc>
          <w:tcPr>
            <w:tcW w:w="357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其他支出</w:t>
            </w:r>
          </w:p>
        </w:tc>
        <w:tc>
          <w:tcPr>
            <w:tcW w:w="1112"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60.00</w:t>
            </w:r>
          </w:p>
        </w:tc>
        <w:tc>
          <w:tcPr>
            <w:tcW w:w="147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60.00</w:t>
            </w:r>
          </w:p>
        </w:tc>
        <w:tc>
          <w:tcPr>
            <w:tcW w:w="1718" w:type="dxa"/>
            <w:vAlign w:val="top"/>
          </w:tcPr>
          <w:p>
            <w:pPr>
              <w:rPr>
                <w:rFonts w:ascii="Arial"/>
                <w:sz w:val="21"/>
              </w:rPr>
            </w:pPr>
          </w:p>
        </w:tc>
        <w:tc>
          <w:tcPr>
            <w:tcW w:w="1963"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trPr>
        <w:tc>
          <w:tcPr>
            <w:tcW w:w="303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国有资本经营预算拨款收入</w:t>
            </w:r>
          </w:p>
        </w:tc>
        <w:tc>
          <w:tcPr>
            <w:tcW w:w="1112" w:type="dxa"/>
            <w:vAlign w:val="top"/>
          </w:tcPr>
          <w:p>
            <w:pPr>
              <w:rPr>
                <w:rFonts w:ascii="Arial"/>
                <w:sz w:val="21"/>
              </w:rPr>
            </w:pPr>
          </w:p>
        </w:tc>
        <w:tc>
          <w:tcPr>
            <w:tcW w:w="3575" w:type="dxa"/>
            <w:vAlign w:val="top"/>
          </w:tcPr>
          <w:p>
            <w:pPr>
              <w:rPr>
                <w:rFonts w:ascii="Arial"/>
                <w:sz w:val="21"/>
              </w:rPr>
            </w:pPr>
          </w:p>
        </w:tc>
        <w:tc>
          <w:tcPr>
            <w:tcW w:w="1112" w:type="dxa"/>
            <w:vAlign w:val="top"/>
          </w:tcPr>
          <w:p>
            <w:pPr>
              <w:rPr>
                <w:rFonts w:ascii="Arial"/>
                <w:sz w:val="21"/>
              </w:rPr>
            </w:pPr>
          </w:p>
        </w:tc>
        <w:tc>
          <w:tcPr>
            <w:tcW w:w="1477" w:type="dxa"/>
            <w:vAlign w:val="top"/>
          </w:tcPr>
          <w:p>
            <w:pPr>
              <w:rPr>
                <w:rFonts w:ascii="Arial"/>
                <w:sz w:val="21"/>
              </w:rPr>
            </w:pPr>
          </w:p>
        </w:tc>
        <w:tc>
          <w:tcPr>
            <w:tcW w:w="1718" w:type="dxa"/>
            <w:vAlign w:val="top"/>
          </w:tcPr>
          <w:p>
            <w:pPr>
              <w:rPr>
                <w:rFonts w:ascii="Arial"/>
                <w:sz w:val="21"/>
              </w:rPr>
            </w:pPr>
          </w:p>
        </w:tc>
        <w:tc>
          <w:tcPr>
            <w:tcW w:w="1963"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trPr>
        <w:tc>
          <w:tcPr>
            <w:tcW w:w="3035" w:type="dxa"/>
            <w:vAlign w:val="top"/>
          </w:tcPr>
          <w:p>
            <w:pPr>
              <w:rPr>
                <w:rFonts w:ascii="Arial"/>
                <w:sz w:val="21"/>
              </w:rPr>
            </w:pPr>
          </w:p>
        </w:tc>
        <w:tc>
          <w:tcPr>
            <w:tcW w:w="1112" w:type="dxa"/>
            <w:vAlign w:val="top"/>
          </w:tcPr>
          <w:p>
            <w:pPr>
              <w:rPr>
                <w:rFonts w:ascii="Arial"/>
                <w:sz w:val="21"/>
              </w:rPr>
            </w:pPr>
          </w:p>
        </w:tc>
        <w:tc>
          <w:tcPr>
            <w:tcW w:w="3575" w:type="dxa"/>
            <w:vAlign w:val="top"/>
          </w:tcPr>
          <w:p>
            <w:pPr>
              <w:rPr>
                <w:rFonts w:ascii="Arial"/>
                <w:sz w:val="21"/>
              </w:rPr>
            </w:pPr>
          </w:p>
        </w:tc>
        <w:tc>
          <w:tcPr>
            <w:tcW w:w="1112" w:type="dxa"/>
            <w:vAlign w:val="top"/>
          </w:tcPr>
          <w:p>
            <w:pPr>
              <w:rPr>
                <w:rFonts w:ascii="Arial"/>
                <w:sz w:val="21"/>
              </w:rPr>
            </w:pPr>
          </w:p>
        </w:tc>
        <w:tc>
          <w:tcPr>
            <w:tcW w:w="1477" w:type="dxa"/>
            <w:vAlign w:val="top"/>
          </w:tcPr>
          <w:p>
            <w:pPr>
              <w:rPr>
                <w:rFonts w:ascii="Arial"/>
                <w:sz w:val="21"/>
              </w:rPr>
            </w:pPr>
          </w:p>
        </w:tc>
        <w:tc>
          <w:tcPr>
            <w:tcW w:w="1718" w:type="dxa"/>
            <w:vAlign w:val="top"/>
          </w:tcPr>
          <w:p>
            <w:pPr>
              <w:rPr>
                <w:rFonts w:ascii="Arial"/>
                <w:sz w:val="21"/>
              </w:rPr>
            </w:pPr>
          </w:p>
        </w:tc>
        <w:tc>
          <w:tcPr>
            <w:tcW w:w="1963"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trPr>
        <w:tc>
          <w:tcPr>
            <w:tcW w:w="3035" w:type="dxa"/>
            <w:vAlign w:val="top"/>
          </w:tcPr>
          <w:p>
            <w:pPr>
              <w:rPr>
                <w:rFonts w:ascii="Arial"/>
                <w:sz w:val="21"/>
              </w:rPr>
            </w:pPr>
          </w:p>
        </w:tc>
        <w:tc>
          <w:tcPr>
            <w:tcW w:w="1112" w:type="dxa"/>
            <w:vAlign w:val="top"/>
          </w:tcPr>
          <w:p>
            <w:pPr>
              <w:rPr>
                <w:rFonts w:ascii="Arial"/>
                <w:sz w:val="21"/>
              </w:rPr>
            </w:pPr>
          </w:p>
        </w:tc>
        <w:tc>
          <w:tcPr>
            <w:tcW w:w="3575" w:type="dxa"/>
            <w:vAlign w:val="top"/>
          </w:tcPr>
          <w:p>
            <w:pPr>
              <w:rPr>
                <w:rFonts w:ascii="Arial"/>
                <w:sz w:val="21"/>
              </w:rPr>
            </w:pPr>
          </w:p>
        </w:tc>
        <w:tc>
          <w:tcPr>
            <w:tcW w:w="1112" w:type="dxa"/>
            <w:vAlign w:val="top"/>
          </w:tcPr>
          <w:p>
            <w:pPr>
              <w:rPr>
                <w:rFonts w:ascii="Arial"/>
                <w:sz w:val="21"/>
              </w:rPr>
            </w:pPr>
          </w:p>
        </w:tc>
        <w:tc>
          <w:tcPr>
            <w:tcW w:w="1477" w:type="dxa"/>
            <w:vAlign w:val="top"/>
          </w:tcPr>
          <w:p>
            <w:pPr>
              <w:rPr>
                <w:rFonts w:ascii="Arial"/>
                <w:sz w:val="21"/>
              </w:rPr>
            </w:pPr>
          </w:p>
        </w:tc>
        <w:tc>
          <w:tcPr>
            <w:tcW w:w="1718" w:type="dxa"/>
            <w:vAlign w:val="top"/>
          </w:tcPr>
          <w:p>
            <w:pPr>
              <w:rPr>
                <w:rFonts w:ascii="Arial"/>
                <w:sz w:val="21"/>
              </w:rPr>
            </w:pPr>
          </w:p>
        </w:tc>
        <w:tc>
          <w:tcPr>
            <w:tcW w:w="1963"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80" w:hRule="atLeast"/>
        </w:trPr>
        <w:tc>
          <w:tcPr>
            <w:tcW w:w="3035" w:type="dxa"/>
            <w:vAlign w:val="top"/>
          </w:tcPr>
          <w:p>
            <w:pPr>
              <w:rPr>
                <w:rFonts w:ascii="Arial"/>
                <w:sz w:val="21"/>
              </w:rPr>
            </w:pPr>
          </w:p>
        </w:tc>
        <w:tc>
          <w:tcPr>
            <w:tcW w:w="1112" w:type="dxa"/>
            <w:vAlign w:val="top"/>
          </w:tcPr>
          <w:p>
            <w:pPr>
              <w:rPr>
                <w:rFonts w:ascii="Arial"/>
                <w:sz w:val="21"/>
              </w:rPr>
            </w:pPr>
          </w:p>
        </w:tc>
        <w:tc>
          <w:tcPr>
            <w:tcW w:w="3575" w:type="dxa"/>
            <w:vAlign w:val="top"/>
          </w:tcPr>
          <w:p>
            <w:pPr>
              <w:rPr>
                <w:rFonts w:ascii="Arial"/>
                <w:sz w:val="21"/>
              </w:rPr>
            </w:pPr>
          </w:p>
        </w:tc>
        <w:tc>
          <w:tcPr>
            <w:tcW w:w="1112" w:type="dxa"/>
            <w:vAlign w:val="top"/>
          </w:tcPr>
          <w:p>
            <w:pPr>
              <w:rPr>
                <w:rFonts w:ascii="Arial"/>
                <w:sz w:val="21"/>
              </w:rPr>
            </w:pPr>
          </w:p>
        </w:tc>
        <w:tc>
          <w:tcPr>
            <w:tcW w:w="1477" w:type="dxa"/>
            <w:vAlign w:val="top"/>
          </w:tcPr>
          <w:p>
            <w:pPr>
              <w:rPr>
                <w:rFonts w:ascii="Arial"/>
                <w:sz w:val="21"/>
              </w:rPr>
            </w:pPr>
          </w:p>
        </w:tc>
        <w:tc>
          <w:tcPr>
            <w:tcW w:w="1718" w:type="dxa"/>
            <w:vAlign w:val="top"/>
          </w:tcPr>
          <w:p>
            <w:pPr>
              <w:rPr>
                <w:rFonts w:ascii="Arial"/>
                <w:sz w:val="21"/>
              </w:rPr>
            </w:pPr>
          </w:p>
        </w:tc>
        <w:tc>
          <w:tcPr>
            <w:tcW w:w="1963" w:type="dxa"/>
            <w:vAlign w:val="top"/>
          </w:tcPr>
          <w:p>
            <w:pPr>
              <w:rPr>
                <w:rFonts w:ascii="Arial"/>
                <w:sz w:val="21"/>
              </w:rPr>
            </w:pPr>
          </w:p>
        </w:tc>
      </w:tr>
    </w:tbl>
    <w:p>
      <w:pPr>
        <w:rPr>
          <w:rFonts w:ascii="Arial"/>
          <w:sz w:val="21"/>
        </w:rPr>
      </w:pPr>
    </w:p>
    <w:p>
      <w:pPr>
        <w:sectPr>
          <w:footerReference r:id="rId19" w:type="default"/>
          <w:pgSz w:w="16839" w:h="11906"/>
          <w:pgMar w:top="1012" w:right="1420" w:bottom="856" w:left="1420" w:header="0" w:footer="572" w:gutter="0"/>
          <w:cols w:space="720" w:num="1"/>
        </w:sect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71" w:line="212" w:lineRule="auto"/>
        <w:ind w:right="347"/>
        <w:jc w:val="right"/>
        <w:rPr>
          <w:rFonts w:ascii="宋体" w:hAnsi="宋体" w:eastAsia="宋体" w:cs="宋体"/>
          <w:sz w:val="22"/>
          <w:szCs w:val="22"/>
        </w:rPr>
      </w:pPr>
      <w:r>
        <w:rPr>
          <w:rFonts w:ascii="宋体" w:hAnsi="宋体" w:eastAsia="宋体" w:cs="宋体"/>
          <w:spacing w:val="-4"/>
          <w:sz w:val="22"/>
          <w:szCs w:val="22"/>
        </w:rPr>
        <w:t>公开表 2-1</w:t>
      </w:r>
    </w:p>
    <w:tbl>
      <w:tblPr>
        <w:tblStyle w:val="30"/>
        <w:tblW w:w="13992" w:type="dxa"/>
        <w:tblInd w:w="2" w:type="dxa"/>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
      <w:tblGrid>
        <w:gridCol w:w="788"/>
        <w:gridCol w:w="420"/>
        <w:gridCol w:w="390"/>
        <w:gridCol w:w="733"/>
        <w:gridCol w:w="870"/>
        <w:gridCol w:w="2056"/>
        <w:gridCol w:w="1109"/>
        <w:gridCol w:w="1064"/>
        <w:gridCol w:w="1034"/>
        <w:gridCol w:w="960"/>
        <w:gridCol w:w="990"/>
        <w:gridCol w:w="855"/>
        <w:gridCol w:w="771"/>
        <w:gridCol w:w="983"/>
        <w:gridCol w:w="969"/>
      </w:tblGrid>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981" w:hRule="atLeast"/>
          <w:tblHeader/>
        </w:trPr>
        <w:tc>
          <w:tcPr>
            <w:tcW w:w="3201" w:type="dxa"/>
            <w:gridSpan w:val="5"/>
            <w:tcBorders>
              <w:top w:val="single" w:color="FFFFFF" w:sz="2" w:space="0"/>
              <w:left w:val="single" w:color="FFFFFF" w:sz="2" w:space="0"/>
              <w:right w:val="nil"/>
            </w:tcBorders>
            <w:vAlign w:val="top"/>
          </w:tcPr>
          <w:p>
            <w:pPr>
              <w:spacing w:line="315" w:lineRule="auto"/>
              <w:rPr>
                <w:rFonts w:ascii="Arial"/>
                <w:sz w:val="21"/>
              </w:rPr>
            </w:pPr>
          </w:p>
          <w:p>
            <w:pPr>
              <w:spacing w:line="315" w:lineRule="auto"/>
              <w:rPr>
                <w:rFonts w:ascii="Arial"/>
                <w:sz w:val="21"/>
              </w:rPr>
            </w:pPr>
          </w:p>
          <w:p>
            <w:pPr>
              <w:spacing w:before="72" w:line="222" w:lineRule="auto"/>
              <w:ind w:left="25"/>
              <w:rPr>
                <w:rFonts w:hint="eastAsia" w:ascii="宋体" w:hAnsi="宋体" w:eastAsia="宋体" w:cs="宋体"/>
                <w:sz w:val="22"/>
                <w:szCs w:val="22"/>
                <w:lang w:eastAsia="zh-CN"/>
              </w:rPr>
            </w:pPr>
            <w:r>
              <w:rPr>
                <w:rFonts w:ascii="宋体" w:hAnsi="宋体" w:eastAsia="宋体" w:cs="宋体"/>
                <w:spacing w:val="-1"/>
                <w:sz w:val="22"/>
                <w:szCs w:val="22"/>
              </w:rPr>
              <w:t>单位：</w:t>
            </w:r>
            <w:r>
              <w:rPr>
                <w:rFonts w:hint="eastAsia" w:ascii="宋体" w:hAnsi="宋体" w:eastAsia="宋体" w:cs="宋体"/>
                <w:spacing w:val="-1"/>
                <w:sz w:val="22"/>
                <w:szCs w:val="22"/>
                <w:lang w:eastAsia="zh-CN"/>
              </w:rPr>
              <w:t>夹江县交通运输局</w:t>
            </w:r>
          </w:p>
        </w:tc>
        <w:tc>
          <w:tcPr>
            <w:tcW w:w="10791" w:type="dxa"/>
            <w:gridSpan w:val="10"/>
            <w:tcBorders>
              <w:top w:val="single" w:color="FFFFFF" w:sz="2" w:space="0"/>
              <w:left w:val="nil"/>
              <w:right w:val="single" w:color="FFFFFF" w:sz="2" w:space="0"/>
            </w:tcBorders>
            <w:vAlign w:val="top"/>
          </w:tcPr>
          <w:p>
            <w:pPr>
              <w:spacing w:before="180" w:line="225" w:lineRule="auto"/>
              <w:ind w:left="758"/>
              <w:rPr>
                <w:rFonts w:ascii="宋体" w:hAnsi="宋体" w:eastAsia="宋体" w:cs="宋体"/>
                <w:sz w:val="31"/>
                <w:szCs w:val="31"/>
              </w:rPr>
            </w:pPr>
            <w:r>
              <w:rPr>
                <w:rFonts w:ascii="宋体" w:hAnsi="宋体" w:eastAsia="宋体" w:cs="宋体"/>
                <w:spacing w:val="16"/>
                <w:sz w:val="31"/>
                <w:szCs w:val="31"/>
                <w14:textOutline w14:w="5793" w14:cap="sq" w14:cmpd="sng">
                  <w14:solidFill>
                    <w14:srgbClr w14:val="000000"/>
                  </w14:solidFill>
                  <w14:prstDash w14:val="solid"/>
                  <w14:bevel/>
                </w14:textOutline>
              </w:rPr>
              <w:t>财</w:t>
            </w:r>
            <w:r>
              <w:rPr>
                <w:rFonts w:ascii="宋体" w:hAnsi="宋体" w:eastAsia="宋体" w:cs="宋体"/>
                <w:spacing w:val="9"/>
                <w:sz w:val="31"/>
                <w:szCs w:val="31"/>
                <w14:textOutline w14:w="5793" w14:cap="sq" w14:cmpd="sng">
                  <w14:solidFill>
                    <w14:srgbClr w14:val="000000"/>
                  </w14:solidFill>
                  <w14:prstDash w14:val="solid"/>
                  <w14:bevel/>
                </w14:textOutline>
              </w:rPr>
              <w:t>政拨款支出预算表</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(部门经济分类科目)</w:t>
            </w:r>
          </w:p>
          <w:p>
            <w:pPr>
              <w:spacing w:before="148" w:line="221" w:lineRule="auto"/>
              <w:ind w:right="330"/>
              <w:jc w:val="right"/>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10" w:hRule="atLeast"/>
        </w:trPr>
        <w:tc>
          <w:tcPr>
            <w:tcW w:w="5257" w:type="dxa"/>
            <w:gridSpan w:val="6"/>
            <w:shd w:val="clear" w:color="auto" w:fill="EFF2F7"/>
            <w:vAlign w:val="top"/>
          </w:tcPr>
          <w:p>
            <w:pPr>
              <w:spacing w:before="147" w:line="222" w:lineRule="auto"/>
              <w:ind w:left="2198"/>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项</w:t>
            </w:r>
            <w:r>
              <w:rPr>
                <w:rFonts w:ascii="宋体" w:hAnsi="宋体" w:eastAsia="宋体" w:cs="宋体"/>
                <w:spacing w:val="7"/>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目</w:t>
            </w:r>
          </w:p>
        </w:tc>
        <w:tc>
          <w:tcPr>
            <w:tcW w:w="1109" w:type="dxa"/>
            <w:vMerge w:val="restart"/>
            <w:tcBorders>
              <w:bottom w:val="nil"/>
            </w:tcBorders>
            <w:shd w:val="clear" w:color="auto" w:fill="EFF2F7"/>
            <w:vAlign w:val="top"/>
          </w:tcPr>
          <w:p>
            <w:pPr>
              <w:spacing w:line="330" w:lineRule="auto"/>
              <w:rPr>
                <w:rFonts w:ascii="Arial"/>
                <w:sz w:val="21"/>
              </w:rPr>
            </w:pPr>
          </w:p>
          <w:p>
            <w:pPr>
              <w:spacing w:line="330" w:lineRule="auto"/>
              <w:rPr>
                <w:rFonts w:ascii="Arial"/>
                <w:sz w:val="21"/>
              </w:rPr>
            </w:pPr>
          </w:p>
          <w:p>
            <w:pPr>
              <w:spacing w:before="72" w:line="222" w:lineRule="auto"/>
              <w:ind w:left="341"/>
              <w:rPr>
                <w:rFonts w:ascii="宋体" w:hAnsi="宋体" w:eastAsia="宋体" w:cs="宋体"/>
                <w:sz w:val="22"/>
                <w:szCs w:val="22"/>
              </w:rPr>
            </w:pPr>
            <w:r>
              <w:rPr>
                <w:rFonts w:ascii="宋体" w:hAnsi="宋体" w:eastAsia="宋体" w:cs="宋体"/>
                <w:spacing w:val="-6"/>
                <w:sz w:val="22"/>
                <w:szCs w:val="22"/>
                <w14:textOutline w14:w="4013" w14:cap="sq" w14:cmpd="sng">
                  <w14:solidFill>
                    <w14:srgbClr w14:val="000000"/>
                  </w14:solidFill>
                  <w14:prstDash w14:val="solid"/>
                  <w14:bevel/>
                </w14:textOutline>
              </w:rPr>
              <w:t>总</w:t>
            </w:r>
            <w:r>
              <w:rPr>
                <w:rFonts w:ascii="宋体" w:hAnsi="宋体" w:eastAsia="宋体" w:cs="宋体"/>
                <w:spacing w:val="-4"/>
                <w:sz w:val="22"/>
                <w:szCs w:val="22"/>
                <w14:textOutline w14:w="4013" w14:cap="sq" w14:cmpd="sng">
                  <w14:solidFill>
                    <w14:srgbClr w14:val="000000"/>
                  </w14:solidFill>
                  <w14:prstDash w14:val="solid"/>
                  <w14:bevel/>
                </w14:textOutline>
              </w:rPr>
              <w:t>计</w:t>
            </w:r>
          </w:p>
        </w:tc>
        <w:tc>
          <w:tcPr>
            <w:tcW w:w="4048" w:type="dxa"/>
            <w:gridSpan w:val="4"/>
            <w:shd w:val="clear" w:color="auto" w:fill="EFF2F7"/>
            <w:vAlign w:val="top"/>
          </w:tcPr>
          <w:p>
            <w:pPr>
              <w:spacing w:before="147" w:line="221" w:lineRule="auto"/>
              <w:ind w:left="935"/>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省级当年</w:t>
            </w:r>
            <w:r>
              <w:rPr>
                <w:rFonts w:ascii="宋体" w:hAnsi="宋体" w:eastAsia="宋体" w:cs="宋体"/>
                <w:sz w:val="22"/>
                <w:szCs w:val="22"/>
                <w14:textOutline w14:w="4013" w14:cap="sq" w14:cmpd="sng">
                  <w14:solidFill>
                    <w14:srgbClr w14:val="000000"/>
                  </w14:solidFill>
                  <w14:prstDash w14:val="solid"/>
                  <w14:bevel/>
                </w14:textOutline>
              </w:rPr>
              <w:t>财政拨款安排</w:t>
            </w:r>
          </w:p>
        </w:tc>
        <w:tc>
          <w:tcPr>
            <w:tcW w:w="3578" w:type="dxa"/>
            <w:gridSpan w:val="4"/>
            <w:shd w:val="clear" w:color="auto" w:fill="EFF2F7"/>
            <w:vAlign w:val="top"/>
          </w:tcPr>
          <w:p>
            <w:pPr>
              <w:spacing w:before="147" w:line="221" w:lineRule="auto"/>
              <w:ind w:left="1135"/>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上年结转安排</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657" w:hRule="atLeast"/>
        </w:trPr>
        <w:tc>
          <w:tcPr>
            <w:tcW w:w="788" w:type="dxa"/>
            <w:vMerge w:val="restart"/>
            <w:tcBorders>
              <w:bottom w:val="nil"/>
            </w:tcBorders>
            <w:shd w:val="clear" w:color="auto" w:fill="EFF2F7"/>
            <w:vAlign w:val="top"/>
          </w:tcPr>
          <w:p>
            <w:pPr>
              <w:rPr>
                <w:rFonts w:ascii="Arial"/>
                <w:sz w:val="21"/>
              </w:rPr>
            </w:pPr>
          </w:p>
        </w:tc>
        <w:tc>
          <w:tcPr>
            <w:tcW w:w="810" w:type="dxa"/>
            <w:gridSpan w:val="2"/>
            <w:shd w:val="clear" w:color="auto" w:fill="EFF2F7"/>
            <w:vAlign w:val="top"/>
          </w:tcPr>
          <w:p>
            <w:pPr>
              <w:spacing w:before="65" w:line="246" w:lineRule="auto"/>
              <w:ind w:left="297" w:right="70" w:hanging="217"/>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科</w:t>
            </w:r>
            <w:r>
              <w:rPr>
                <w:rFonts w:ascii="宋体" w:hAnsi="宋体" w:eastAsia="宋体" w:cs="宋体"/>
                <w:spacing w:val="-2"/>
                <w:sz w:val="22"/>
                <w:szCs w:val="22"/>
                <w14:textOutline w14:w="4013" w14:cap="sq" w14:cmpd="sng">
                  <w14:solidFill>
                    <w14:srgbClr w14:val="000000"/>
                  </w14:solidFill>
                  <w14:prstDash w14:val="solid"/>
                  <w14:bevel/>
                </w14:textOutline>
              </w:rPr>
              <w:t>目编</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码</w:t>
            </w:r>
          </w:p>
        </w:tc>
        <w:tc>
          <w:tcPr>
            <w:tcW w:w="733" w:type="dxa"/>
            <w:vMerge w:val="restart"/>
            <w:tcBorders>
              <w:bottom w:val="nil"/>
            </w:tcBorders>
            <w:shd w:val="clear" w:color="auto" w:fill="EFF2F7"/>
            <w:vAlign w:val="top"/>
          </w:tcPr>
          <w:p>
            <w:pPr>
              <w:spacing w:line="248" w:lineRule="auto"/>
              <w:rPr>
                <w:rFonts w:ascii="Arial"/>
                <w:sz w:val="21"/>
              </w:rPr>
            </w:pPr>
          </w:p>
          <w:p>
            <w:pPr>
              <w:spacing w:before="71" w:line="283" w:lineRule="auto"/>
              <w:ind w:left="260" w:right="33" w:hanging="218"/>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单</w:t>
            </w:r>
            <w:r>
              <w:rPr>
                <w:rFonts w:ascii="宋体" w:hAnsi="宋体" w:eastAsia="宋体" w:cs="宋体"/>
                <w:spacing w:val="-2"/>
                <w:sz w:val="22"/>
                <w:szCs w:val="22"/>
                <w14:textOutline w14:w="4013" w14:cap="sq" w14:cmpd="sng">
                  <w14:solidFill>
                    <w14:srgbClr w14:val="000000"/>
                  </w14:solidFill>
                  <w14:prstDash w14:val="solid"/>
                  <w14:bevel/>
                </w14:textOutline>
              </w:rPr>
              <w:t>位代</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码</w:t>
            </w:r>
          </w:p>
        </w:tc>
        <w:tc>
          <w:tcPr>
            <w:tcW w:w="2926" w:type="dxa"/>
            <w:gridSpan w:val="2"/>
            <w:vMerge w:val="restart"/>
            <w:tcBorders>
              <w:bottom w:val="nil"/>
            </w:tcBorders>
            <w:shd w:val="clear" w:color="auto" w:fill="EFF2F7"/>
            <w:vAlign w:val="top"/>
          </w:tcPr>
          <w:p>
            <w:pPr>
              <w:spacing w:line="408" w:lineRule="auto"/>
              <w:rPr>
                <w:rFonts w:ascii="Arial"/>
                <w:sz w:val="21"/>
              </w:rPr>
            </w:pPr>
          </w:p>
          <w:p>
            <w:pPr>
              <w:spacing w:before="71" w:line="220" w:lineRule="auto"/>
              <w:ind w:left="588"/>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单位名称</w:t>
            </w:r>
            <w:r>
              <w:rPr>
                <w:rFonts w:ascii="宋体" w:hAnsi="宋体" w:eastAsia="宋体" w:cs="宋体"/>
                <w:spacing w:val="-1"/>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(科目)</w:t>
            </w:r>
          </w:p>
        </w:tc>
        <w:tc>
          <w:tcPr>
            <w:tcW w:w="1109" w:type="dxa"/>
            <w:vMerge w:val="continue"/>
            <w:tcBorders>
              <w:top w:val="nil"/>
              <w:bottom w:val="nil"/>
            </w:tcBorders>
            <w:vAlign w:val="top"/>
          </w:tcPr>
          <w:p>
            <w:pPr>
              <w:rPr>
                <w:rFonts w:ascii="Arial"/>
                <w:sz w:val="21"/>
              </w:rPr>
            </w:pPr>
          </w:p>
        </w:tc>
        <w:tc>
          <w:tcPr>
            <w:tcW w:w="1064" w:type="dxa"/>
            <w:vMerge w:val="restart"/>
            <w:tcBorders>
              <w:bottom w:val="nil"/>
            </w:tcBorders>
            <w:shd w:val="clear" w:color="auto" w:fill="EFF2F7"/>
            <w:vAlign w:val="top"/>
          </w:tcPr>
          <w:p>
            <w:pPr>
              <w:spacing w:line="408" w:lineRule="auto"/>
              <w:rPr>
                <w:rFonts w:ascii="Arial"/>
                <w:sz w:val="21"/>
              </w:rPr>
            </w:pPr>
          </w:p>
          <w:p>
            <w:pPr>
              <w:spacing w:before="72" w:line="222" w:lineRule="auto"/>
              <w:ind w:left="318"/>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2984" w:type="dxa"/>
            <w:gridSpan w:val="3"/>
            <w:shd w:val="clear" w:color="auto" w:fill="EFF2F7"/>
            <w:vAlign w:val="top"/>
          </w:tcPr>
          <w:p>
            <w:pPr>
              <w:spacing w:before="222" w:line="221" w:lineRule="auto"/>
              <w:ind w:left="622"/>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一般公共预算</w:t>
            </w:r>
            <w:r>
              <w:rPr>
                <w:rFonts w:ascii="宋体" w:hAnsi="宋体" w:eastAsia="宋体" w:cs="宋体"/>
                <w:sz w:val="22"/>
                <w:szCs w:val="22"/>
                <w14:textOutline w14:w="4013" w14:cap="sq" w14:cmpd="sng">
                  <w14:solidFill>
                    <w14:srgbClr w14:val="000000"/>
                  </w14:solidFill>
                  <w14:prstDash w14:val="solid"/>
                  <w14:bevel/>
                </w14:textOutline>
              </w:rPr>
              <w:t>拨款</w:t>
            </w:r>
          </w:p>
        </w:tc>
        <w:tc>
          <w:tcPr>
            <w:tcW w:w="855" w:type="dxa"/>
            <w:vMerge w:val="restart"/>
            <w:tcBorders>
              <w:bottom w:val="nil"/>
            </w:tcBorders>
            <w:shd w:val="clear" w:color="auto" w:fill="EFF2F7"/>
            <w:vAlign w:val="top"/>
          </w:tcPr>
          <w:p>
            <w:pPr>
              <w:spacing w:line="408" w:lineRule="auto"/>
              <w:rPr>
                <w:rFonts w:ascii="Arial"/>
                <w:sz w:val="21"/>
              </w:rPr>
            </w:pPr>
          </w:p>
          <w:p>
            <w:pPr>
              <w:spacing w:before="72" w:line="222" w:lineRule="auto"/>
              <w:ind w:left="215"/>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2723" w:type="dxa"/>
            <w:gridSpan w:val="3"/>
            <w:shd w:val="clear" w:color="auto" w:fill="EFF2F7"/>
            <w:vAlign w:val="top"/>
          </w:tcPr>
          <w:p>
            <w:pPr>
              <w:spacing w:before="222" w:line="221" w:lineRule="auto"/>
              <w:ind w:left="491"/>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一般公共预算</w:t>
            </w:r>
            <w:r>
              <w:rPr>
                <w:rFonts w:ascii="宋体" w:hAnsi="宋体" w:eastAsia="宋体" w:cs="宋体"/>
                <w:sz w:val="22"/>
                <w:szCs w:val="22"/>
                <w14:textOutline w14:w="4013" w14:cap="sq" w14:cmpd="sng">
                  <w14:solidFill>
                    <w14:srgbClr w14:val="000000"/>
                  </w14:solidFill>
                  <w14:prstDash w14:val="solid"/>
                  <w14:bevel/>
                </w14:textOutline>
              </w:rPr>
              <w:t>拨款</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10" w:hRule="atLeast"/>
        </w:trPr>
        <w:tc>
          <w:tcPr>
            <w:tcW w:w="788" w:type="dxa"/>
            <w:vMerge w:val="continue"/>
            <w:tcBorders>
              <w:top w:val="nil"/>
            </w:tcBorders>
            <w:vAlign w:val="top"/>
          </w:tcPr>
          <w:p>
            <w:pPr>
              <w:rPr>
                <w:rFonts w:ascii="Arial"/>
                <w:sz w:val="21"/>
              </w:rPr>
            </w:pPr>
          </w:p>
        </w:tc>
        <w:tc>
          <w:tcPr>
            <w:tcW w:w="420" w:type="dxa"/>
            <w:shd w:val="clear" w:color="auto" w:fill="EFF2F7"/>
            <w:vAlign w:val="top"/>
          </w:tcPr>
          <w:p>
            <w:pPr>
              <w:spacing w:before="148" w:line="221" w:lineRule="auto"/>
              <w:ind w:left="104"/>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类</w:t>
            </w:r>
          </w:p>
        </w:tc>
        <w:tc>
          <w:tcPr>
            <w:tcW w:w="390" w:type="dxa"/>
            <w:shd w:val="clear" w:color="auto" w:fill="EFF2F7"/>
            <w:vAlign w:val="top"/>
          </w:tcPr>
          <w:p>
            <w:pPr>
              <w:spacing w:before="149" w:line="222" w:lineRule="auto"/>
              <w:ind w:left="90"/>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款</w:t>
            </w:r>
          </w:p>
        </w:tc>
        <w:tc>
          <w:tcPr>
            <w:tcW w:w="733" w:type="dxa"/>
            <w:vMerge w:val="continue"/>
            <w:tcBorders>
              <w:top w:val="nil"/>
            </w:tcBorders>
            <w:vAlign w:val="top"/>
          </w:tcPr>
          <w:p>
            <w:pPr>
              <w:rPr>
                <w:rFonts w:ascii="Arial"/>
                <w:sz w:val="21"/>
              </w:rPr>
            </w:pPr>
          </w:p>
        </w:tc>
        <w:tc>
          <w:tcPr>
            <w:tcW w:w="2926" w:type="dxa"/>
            <w:gridSpan w:val="2"/>
            <w:vMerge w:val="continue"/>
            <w:tcBorders>
              <w:top w:val="nil"/>
            </w:tcBorders>
            <w:vAlign w:val="top"/>
          </w:tcPr>
          <w:p>
            <w:pPr>
              <w:rPr>
                <w:rFonts w:ascii="Arial"/>
                <w:sz w:val="21"/>
              </w:rPr>
            </w:pPr>
          </w:p>
        </w:tc>
        <w:tc>
          <w:tcPr>
            <w:tcW w:w="1109" w:type="dxa"/>
            <w:vMerge w:val="continue"/>
            <w:tcBorders>
              <w:top w:val="nil"/>
            </w:tcBorders>
            <w:vAlign w:val="top"/>
          </w:tcPr>
          <w:p>
            <w:pPr>
              <w:rPr>
                <w:rFonts w:ascii="Arial"/>
                <w:sz w:val="21"/>
              </w:rPr>
            </w:pPr>
          </w:p>
        </w:tc>
        <w:tc>
          <w:tcPr>
            <w:tcW w:w="1064" w:type="dxa"/>
            <w:vMerge w:val="continue"/>
            <w:tcBorders>
              <w:top w:val="nil"/>
            </w:tcBorders>
            <w:vAlign w:val="top"/>
          </w:tcPr>
          <w:p>
            <w:pPr>
              <w:rPr>
                <w:rFonts w:ascii="Arial"/>
                <w:sz w:val="21"/>
              </w:rPr>
            </w:pPr>
          </w:p>
        </w:tc>
        <w:tc>
          <w:tcPr>
            <w:tcW w:w="1034" w:type="dxa"/>
            <w:shd w:val="clear" w:color="auto" w:fill="EFF2F7"/>
            <w:vAlign w:val="top"/>
          </w:tcPr>
          <w:p>
            <w:pPr>
              <w:spacing w:before="149" w:line="222" w:lineRule="auto"/>
              <w:ind w:left="310"/>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小</w:t>
            </w:r>
            <w:r>
              <w:rPr>
                <w:rFonts w:ascii="宋体" w:hAnsi="宋体" w:eastAsia="宋体" w:cs="宋体"/>
                <w:spacing w:val="-6"/>
                <w:sz w:val="22"/>
                <w:szCs w:val="22"/>
                <w14:textOutline w14:w="4013" w14:cap="sq" w14:cmpd="sng">
                  <w14:solidFill>
                    <w14:srgbClr w14:val="000000"/>
                  </w14:solidFill>
                  <w14:prstDash w14:val="solid"/>
                  <w14:bevel/>
                </w14:textOutline>
              </w:rPr>
              <w:t>计</w:t>
            </w:r>
          </w:p>
        </w:tc>
        <w:tc>
          <w:tcPr>
            <w:tcW w:w="960" w:type="dxa"/>
            <w:shd w:val="clear" w:color="auto" w:fill="EFF2F7"/>
            <w:vAlign w:val="top"/>
          </w:tcPr>
          <w:p>
            <w:pPr>
              <w:spacing w:before="149" w:line="220" w:lineRule="auto"/>
              <w:ind w:left="48"/>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基本</w:t>
            </w:r>
            <w:r>
              <w:rPr>
                <w:rFonts w:ascii="宋体" w:hAnsi="宋体" w:eastAsia="宋体" w:cs="宋体"/>
                <w:spacing w:val="-1"/>
                <w:sz w:val="22"/>
                <w:szCs w:val="22"/>
                <w14:textOutline w14:w="4013" w14:cap="sq" w14:cmpd="sng">
                  <w14:solidFill>
                    <w14:srgbClr w14:val="000000"/>
                  </w14:solidFill>
                  <w14:prstDash w14:val="solid"/>
                  <w14:bevel/>
                </w14:textOutline>
              </w:rPr>
              <w:t>支出</w:t>
            </w:r>
          </w:p>
        </w:tc>
        <w:tc>
          <w:tcPr>
            <w:tcW w:w="990" w:type="dxa"/>
            <w:shd w:val="clear" w:color="auto" w:fill="EFF2F7"/>
            <w:vAlign w:val="top"/>
          </w:tcPr>
          <w:p>
            <w:pPr>
              <w:spacing w:before="148" w:line="222" w:lineRule="auto"/>
              <w:ind w:left="66"/>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项</w:t>
            </w:r>
            <w:r>
              <w:rPr>
                <w:rFonts w:ascii="宋体" w:hAnsi="宋体" w:eastAsia="宋体" w:cs="宋体"/>
                <w:spacing w:val="-2"/>
                <w:sz w:val="22"/>
                <w:szCs w:val="22"/>
                <w14:textOutline w14:w="4013" w14:cap="sq" w14:cmpd="sng">
                  <w14:solidFill>
                    <w14:srgbClr w14:val="000000"/>
                  </w14:solidFill>
                  <w14:prstDash w14:val="solid"/>
                  <w14:bevel/>
                </w14:textOutline>
              </w:rPr>
              <w:t>目支出</w:t>
            </w:r>
          </w:p>
        </w:tc>
        <w:tc>
          <w:tcPr>
            <w:tcW w:w="855" w:type="dxa"/>
            <w:vMerge w:val="continue"/>
            <w:tcBorders>
              <w:top w:val="nil"/>
            </w:tcBorders>
            <w:vAlign w:val="top"/>
          </w:tcPr>
          <w:p>
            <w:pPr>
              <w:rPr>
                <w:rFonts w:ascii="Arial"/>
                <w:sz w:val="21"/>
              </w:rPr>
            </w:pPr>
          </w:p>
        </w:tc>
        <w:tc>
          <w:tcPr>
            <w:tcW w:w="771" w:type="dxa"/>
            <w:shd w:val="clear" w:color="auto" w:fill="EFF2F7"/>
            <w:vAlign w:val="top"/>
          </w:tcPr>
          <w:p>
            <w:pPr>
              <w:spacing w:before="149" w:line="222" w:lineRule="auto"/>
              <w:ind w:left="179"/>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小</w:t>
            </w:r>
            <w:r>
              <w:rPr>
                <w:rFonts w:ascii="宋体" w:hAnsi="宋体" w:eastAsia="宋体" w:cs="宋体"/>
                <w:spacing w:val="-6"/>
                <w:sz w:val="22"/>
                <w:szCs w:val="22"/>
                <w14:textOutline w14:w="4013" w14:cap="sq" w14:cmpd="sng">
                  <w14:solidFill>
                    <w14:srgbClr w14:val="000000"/>
                  </w14:solidFill>
                  <w14:prstDash w14:val="solid"/>
                  <w14:bevel/>
                </w14:textOutline>
              </w:rPr>
              <w:t>计</w:t>
            </w:r>
          </w:p>
        </w:tc>
        <w:tc>
          <w:tcPr>
            <w:tcW w:w="983" w:type="dxa"/>
            <w:shd w:val="clear" w:color="auto" w:fill="EFF2F7"/>
            <w:vAlign w:val="top"/>
          </w:tcPr>
          <w:p>
            <w:pPr>
              <w:spacing w:before="149" w:line="220" w:lineRule="auto"/>
              <w:ind w:left="60"/>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基本</w:t>
            </w:r>
            <w:r>
              <w:rPr>
                <w:rFonts w:ascii="宋体" w:hAnsi="宋体" w:eastAsia="宋体" w:cs="宋体"/>
                <w:spacing w:val="-1"/>
                <w:sz w:val="22"/>
                <w:szCs w:val="22"/>
                <w14:textOutline w14:w="4013" w14:cap="sq" w14:cmpd="sng">
                  <w14:solidFill>
                    <w14:srgbClr w14:val="000000"/>
                  </w14:solidFill>
                  <w14:prstDash w14:val="solid"/>
                  <w14:bevel/>
                </w14:textOutline>
              </w:rPr>
              <w:t>支出</w:t>
            </w:r>
          </w:p>
        </w:tc>
        <w:tc>
          <w:tcPr>
            <w:tcW w:w="969" w:type="dxa"/>
            <w:shd w:val="clear" w:color="auto" w:fill="EFF2F7"/>
            <w:vAlign w:val="top"/>
          </w:tcPr>
          <w:p>
            <w:pPr>
              <w:spacing w:before="148" w:line="222" w:lineRule="auto"/>
              <w:ind w:left="52"/>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项</w:t>
            </w:r>
            <w:r>
              <w:rPr>
                <w:rFonts w:ascii="宋体" w:hAnsi="宋体" w:eastAsia="宋体" w:cs="宋体"/>
                <w:spacing w:val="-2"/>
                <w:sz w:val="22"/>
                <w:szCs w:val="22"/>
                <w14:textOutline w14:w="4013" w14:cap="sq" w14:cmpd="sng">
                  <w14:solidFill>
                    <w14:srgbClr w14:val="000000"/>
                  </w14:solidFill>
                  <w14:prstDash w14:val="solid"/>
                  <w14:bevel/>
                </w14:textOutline>
              </w:rPr>
              <w:t>目支出</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50" w:hRule="atLeast"/>
        </w:trPr>
        <w:tc>
          <w:tcPr>
            <w:tcW w:w="788" w:type="dxa"/>
            <w:vAlign w:val="top"/>
          </w:tcPr>
          <w:p>
            <w:pPr>
              <w:rPr>
                <w:rFonts w:ascii="Arial"/>
                <w:sz w:val="21"/>
              </w:rPr>
            </w:pPr>
          </w:p>
        </w:tc>
        <w:tc>
          <w:tcPr>
            <w:tcW w:w="420" w:type="dxa"/>
            <w:vAlign w:val="top"/>
          </w:tcPr>
          <w:p>
            <w:pPr>
              <w:rPr>
                <w:rFonts w:ascii="Arial"/>
                <w:sz w:val="21"/>
              </w:rPr>
            </w:pPr>
          </w:p>
        </w:tc>
        <w:tc>
          <w:tcPr>
            <w:tcW w:w="390" w:type="dxa"/>
            <w:vAlign w:val="top"/>
          </w:tcPr>
          <w:p>
            <w:pPr>
              <w:rPr>
                <w:rFonts w:ascii="Arial"/>
                <w:sz w:val="21"/>
              </w:rPr>
            </w:pPr>
          </w:p>
        </w:tc>
        <w:tc>
          <w:tcPr>
            <w:tcW w:w="733" w:type="dxa"/>
            <w:vAlign w:val="top"/>
          </w:tcPr>
          <w:p>
            <w:pPr>
              <w:rPr>
                <w:rFonts w:ascii="Arial"/>
                <w:sz w:val="21"/>
              </w:rPr>
            </w:pPr>
          </w:p>
        </w:tc>
        <w:tc>
          <w:tcPr>
            <w:tcW w:w="2926" w:type="dxa"/>
            <w:gridSpan w:val="2"/>
            <w:vAlign w:val="top"/>
          </w:tcPr>
          <w:p>
            <w:pPr>
              <w:spacing w:before="135" w:line="222" w:lineRule="auto"/>
              <w:ind w:left="1029"/>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合</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计</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b/>
                <w:i w:val="0"/>
                <w:color w:val="000000"/>
                <w:spacing w:val="0"/>
                <w:w w:val="100"/>
                <w:position w:val="0"/>
                <w:sz w:val="22"/>
                <w:szCs w:val="22"/>
                <w:u w:val="none"/>
                <w:shd w:val="clear" w:color="auto" w:fill="auto"/>
                <w:lang w:val="en-US" w:eastAsia="en-US" w:bidi="en-US"/>
              </w:rPr>
            </w:pPr>
            <w:r>
              <w:rPr>
                <w:rFonts w:hint="eastAsia" w:ascii="宋体" w:hAnsi="宋体" w:eastAsia="宋体" w:cs="宋体"/>
                <w:b/>
                <w:i w:val="0"/>
                <w:color w:val="000000"/>
                <w:spacing w:val="0"/>
                <w:w w:val="100"/>
                <w:kern w:val="0"/>
                <w:position w:val="0"/>
                <w:sz w:val="22"/>
                <w:szCs w:val="22"/>
                <w:u w:val="none"/>
                <w:shd w:val="clear" w:color="auto" w:fill="auto"/>
                <w:lang w:val="en-US" w:eastAsia="zh-CN" w:bidi="ar"/>
              </w:rPr>
              <w:t>3,507.69</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b/>
                <w:i w:val="0"/>
                <w:color w:val="000000"/>
                <w:spacing w:val="0"/>
                <w:w w:val="100"/>
                <w:position w:val="0"/>
                <w:sz w:val="22"/>
                <w:szCs w:val="22"/>
                <w:u w:val="none"/>
                <w:shd w:val="clear" w:color="auto" w:fill="auto"/>
                <w:lang w:val="en-US" w:eastAsia="en-US" w:bidi="en-US"/>
              </w:rPr>
            </w:pPr>
            <w:r>
              <w:rPr>
                <w:rFonts w:hint="eastAsia" w:ascii="宋体" w:hAnsi="宋体" w:eastAsia="宋体" w:cs="宋体"/>
                <w:b/>
                <w:i w:val="0"/>
                <w:color w:val="000000"/>
                <w:spacing w:val="0"/>
                <w:w w:val="100"/>
                <w:kern w:val="0"/>
                <w:position w:val="0"/>
                <w:sz w:val="22"/>
                <w:szCs w:val="22"/>
                <w:u w:val="none"/>
                <w:shd w:val="clear" w:color="auto" w:fill="auto"/>
                <w:lang w:val="en-US" w:eastAsia="zh-CN" w:bidi="ar"/>
              </w:rPr>
              <w:t>2,185.24</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b/>
                <w:i w:val="0"/>
                <w:color w:val="000000"/>
                <w:spacing w:val="0"/>
                <w:w w:val="100"/>
                <w:position w:val="0"/>
                <w:sz w:val="22"/>
                <w:szCs w:val="22"/>
                <w:u w:val="none"/>
                <w:shd w:val="clear" w:color="auto" w:fill="auto"/>
                <w:lang w:val="en-US" w:eastAsia="en-US" w:bidi="en-US"/>
              </w:rPr>
            </w:pPr>
            <w:r>
              <w:rPr>
                <w:rFonts w:hint="eastAsia" w:ascii="宋体" w:hAnsi="宋体" w:eastAsia="宋体" w:cs="宋体"/>
                <w:b/>
                <w:i w:val="0"/>
                <w:color w:val="000000"/>
                <w:spacing w:val="0"/>
                <w:w w:val="100"/>
                <w:kern w:val="0"/>
                <w:position w:val="0"/>
                <w:sz w:val="22"/>
                <w:szCs w:val="22"/>
                <w:u w:val="none"/>
                <w:shd w:val="clear" w:color="auto" w:fill="auto"/>
                <w:lang w:val="en-US" w:eastAsia="zh-CN" w:bidi="ar"/>
              </w:rPr>
              <w:t>2,185.24</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b/>
                <w:i w:val="0"/>
                <w:color w:val="000000"/>
                <w:spacing w:val="0"/>
                <w:w w:val="100"/>
                <w:position w:val="0"/>
                <w:sz w:val="22"/>
                <w:szCs w:val="22"/>
                <w:u w:val="none"/>
                <w:shd w:val="clear" w:color="auto" w:fill="auto"/>
                <w:lang w:val="en-US" w:eastAsia="en-US" w:bidi="en-US"/>
              </w:rPr>
            </w:pPr>
            <w:r>
              <w:rPr>
                <w:rFonts w:hint="eastAsia" w:ascii="宋体" w:hAnsi="宋体" w:eastAsia="宋体" w:cs="宋体"/>
                <w:b/>
                <w:i w:val="0"/>
                <w:color w:val="000000"/>
                <w:spacing w:val="0"/>
                <w:w w:val="100"/>
                <w:kern w:val="0"/>
                <w:position w:val="0"/>
                <w:sz w:val="22"/>
                <w:szCs w:val="22"/>
                <w:u w:val="none"/>
                <w:shd w:val="clear" w:color="auto" w:fill="auto"/>
                <w:lang w:val="en-US" w:eastAsia="zh-CN" w:bidi="ar"/>
              </w:rPr>
              <w:t>1,550.82</w:t>
            </w:r>
          </w:p>
        </w:tc>
        <w:tc>
          <w:tcPr>
            <w:tcW w:w="99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b/>
                <w:i w:val="0"/>
                <w:color w:val="000000"/>
                <w:spacing w:val="0"/>
                <w:w w:val="100"/>
                <w:position w:val="0"/>
                <w:sz w:val="22"/>
                <w:szCs w:val="22"/>
                <w:u w:val="none"/>
                <w:shd w:val="clear" w:color="auto" w:fill="auto"/>
                <w:lang w:val="en-US" w:eastAsia="en-US" w:bidi="en-US"/>
              </w:rPr>
            </w:pPr>
            <w:r>
              <w:rPr>
                <w:rFonts w:hint="eastAsia" w:ascii="宋体" w:hAnsi="宋体" w:eastAsia="宋体" w:cs="宋体"/>
                <w:b/>
                <w:i w:val="0"/>
                <w:color w:val="000000"/>
                <w:spacing w:val="0"/>
                <w:w w:val="100"/>
                <w:kern w:val="0"/>
                <w:position w:val="0"/>
                <w:sz w:val="22"/>
                <w:szCs w:val="22"/>
                <w:u w:val="none"/>
                <w:shd w:val="clear" w:color="auto" w:fill="auto"/>
                <w:lang w:val="en-US" w:eastAsia="zh-CN" w:bidi="ar"/>
              </w:rPr>
              <w:t>634.42</w:t>
            </w:r>
          </w:p>
        </w:tc>
        <w:tc>
          <w:tcPr>
            <w:tcW w:w="855" w:type="dxa"/>
            <w:vAlign w:val="top"/>
          </w:tcPr>
          <w:p>
            <w:pPr>
              <w:spacing w:before="170" w:line="185" w:lineRule="auto"/>
              <w:ind w:left="190"/>
              <w:rPr>
                <w:rFonts w:ascii="宋体" w:hAnsi="宋体" w:eastAsia="宋体" w:cs="宋体"/>
                <w:sz w:val="22"/>
                <w:szCs w:val="22"/>
              </w:rPr>
            </w:pPr>
          </w:p>
        </w:tc>
        <w:tc>
          <w:tcPr>
            <w:tcW w:w="771" w:type="dxa"/>
            <w:vAlign w:val="top"/>
          </w:tcPr>
          <w:p>
            <w:pPr>
              <w:spacing w:before="170" w:line="185" w:lineRule="auto"/>
              <w:ind w:left="105"/>
              <w:rPr>
                <w:rFonts w:ascii="宋体" w:hAnsi="宋体" w:eastAsia="宋体" w:cs="宋体"/>
                <w:sz w:val="22"/>
                <w:szCs w:val="22"/>
              </w:rPr>
            </w:pPr>
          </w:p>
        </w:tc>
        <w:tc>
          <w:tcPr>
            <w:tcW w:w="983" w:type="dxa"/>
            <w:vAlign w:val="top"/>
          </w:tcPr>
          <w:p>
            <w:pPr>
              <w:rPr>
                <w:rFonts w:ascii="Arial"/>
                <w:sz w:val="21"/>
              </w:rPr>
            </w:pPr>
          </w:p>
        </w:tc>
        <w:tc>
          <w:tcPr>
            <w:tcW w:w="969" w:type="dxa"/>
            <w:vAlign w:val="top"/>
          </w:tcPr>
          <w:p>
            <w:pPr>
              <w:spacing w:before="170" w:line="185" w:lineRule="auto"/>
              <w:ind w:left="300"/>
              <w:rPr>
                <w:rFonts w:ascii="宋体" w:hAnsi="宋体" w:eastAsia="宋体" w:cs="宋体"/>
                <w:sz w:val="22"/>
                <w:szCs w:val="22"/>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trPr>
        <w:tc>
          <w:tcPr>
            <w:tcW w:w="788" w:type="dxa"/>
            <w:vAlign w:val="top"/>
          </w:tcPr>
          <w:p>
            <w:pPr>
              <w:spacing w:before="168" w:line="186" w:lineRule="auto"/>
              <w:ind w:left="27"/>
              <w:rPr>
                <w:rFonts w:ascii="宋体" w:hAnsi="宋体" w:eastAsia="宋体" w:cs="宋体"/>
                <w:sz w:val="22"/>
                <w:szCs w:val="22"/>
              </w:rPr>
            </w:pPr>
          </w:p>
        </w:tc>
        <w:tc>
          <w:tcPr>
            <w:tcW w:w="420" w:type="dxa"/>
            <w:vAlign w:val="top"/>
          </w:tcPr>
          <w:p>
            <w:pPr>
              <w:rPr>
                <w:rFonts w:ascii="Arial"/>
                <w:sz w:val="21"/>
              </w:rPr>
            </w:pPr>
          </w:p>
        </w:tc>
        <w:tc>
          <w:tcPr>
            <w:tcW w:w="390" w:type="dxa"/>
            <w:vAlign w:val="top"/>
          </w:tcPr>
          <w:p>
            <w:pPr>
              <w:spacing w:before="168" w:line="186" w:lineRule="auto"/>
              <w:ind w:left="39"/>
              <w:rPr>
                <w:rFonts w:ascii="宋体" w:hAnsi="宋体" w:eastAsia="宋体" w:cs="宋体"/>
                <w:sz w:val="22"/>
                <w:szCs w:val="22"/>
              </w:rPr>
            </w:pPr>
          </w:p>
        </w:tc>
        <w:tc>
          <w:tcPr>
            <w:tcW w:w="733" w:type="dxa"/>
            <w:vAlign w:val="top"/>
          </w:tcPr>
          <w:p>
            <w:pPr>
              <w:rPr>
                <w:rFonts w:ascii="Arial"/>
                <w:sz w:val="21"/>
              </w:rPr>
            </w:pPr>
          </w:p>
        </w:tc>
        <w:tc>
          <w:tcPr>
            <w:tcW w:w="2926" w:type="dxa"/>
            <w:gridSpan w:val="2"/>
            <w:vAlign w:val="top"/>
          </w:tcPr>
          <w:p>
            <w:pPr>
              <w:spacing w:before="133" w:line="222" w:lineRule="auto"/>
              <w:ind w:left="23"/>
              <w:rPr>
                <w:rFonts w:ascii="宋体" w:hAnsi="宋体" w:eastAsia="宋体" w:cs="宋体"/>
                <w:sz w:val="22"/>
                <w:szCs w:val="22"/>
              </w:rPr>
            </w:pP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3,507.69</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2,185.24</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2,185.24</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1,550.82</w:t>
            </w:r>
          </w:p>
        </w:tc>
        <w:tc>
          <w:tcPr>
            <w:tcW w:w="99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634.42</w:t>
            </w: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43" w:hRule="atLeast"/>
        </w:trPr>
        <w:tc>
          <w:tcPr>
            <w:tcW w:w="788" w:type="dxa"/>
            <w:vAlign w:val="top"/>
          </w:tcPr>
          <w:p>
            <w:pPr>
              <w:spacing w:before="152" w:line="186" w:lineRule="auto"/>
              <w:ind w:left="27"/>
              <w:rPr>
                <w:rFonts w:ascii="宋体" w:hAnsi="宋体" w:eastAsia="宋体" w:cs="宋体"/>
                <w:sz w:val="22"/>
                <w:szCs w:val="22"/>
              </w:rPr>
            </w:pPr>
          </w:p>
        </w:tc>
        <w:tc>
          <w:tcPr>
            <w:tcW w:w="420" w:type="dxa"/>
            <w:vAlign w:val="top"/>
          </w:tcPr>
          <w:p>
            <w:pPr>
              <w:spacing w:before="152" w:line="186" w:lineRule="auto"/>
              <w:ind w:left="53"/>
              <w:rPr>
                <w:rFonts w:ascii="宋体" w:hAnsi="宋体" w:eastAsia="宋体" w:cs="宋体"/>
                <w:sz w:val="22"/>
                <w:szCs w:val="22"/>
              </w:rPr>
            </w:pPr>
          </w:p>
        </w:tc>
        <w:tc>
          <w:tcPr>
            <w:tcW w:w="390" w:type="dxa"/>
            <w:vAlign w:val="top"/>
          </w:tcPr>
          <w:p>
            <w:pPr>
              <w:spacing w:before="152" w:line="186" w:lineRule="auto"/>
              <w:ind w:left="91"/>
              <w:rPr>
                <w:rFonts w:ascii="宋体" w:hAnsi="宋体" w:eastAsia="宋体" w:cs="宋体"/>
                <w:sz w:val="22"/>
                <w:szCs w:val="22"/>
              </w:rPr>
            </w:pPr>
          </w:p>
        </w:tc>
        <w:tc>
          <w:tcPr>
            <w:tcW w:w="733" w:type="dxa"/>
            <w:vAlign w:val="top"/>
          </w:tcPr>
          <w:p>
            <w:pPr>
              <w:spacing w:before="152" w:line="186" w:lineRule="auto"/>
              <w:ind w:left="23"/>
              <w:rPr>
                <w:rFonts w:ascii="宋体" w:hAnsi="宋体" w:eastAsia="宋体" w:cs="宋体"/>
                <w:sz w:val="22"/>
                <w:szCs w:val="22"/>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夹江县交通运输局机关</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1,530.20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308.28</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308.28</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240.32</w:t>
            </w:r>
          </w:p>
        </w:tc>
        <w:tc>
          <w:tcPr>
            <w:tcW w:w="99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67.96</w:t>
            </w: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36" w:hRule="atLeast"/>
        </w:trPr>
        <w:tc>
          <w:tcPr>
            <w:tcW w:w="788" w:type="dxa"/>
            <w:vAlign w:val="top"/>
          </w:tcPr>
          <w:p>
            <w:pPr>
              <w:spacing w:before="148" w:line="186" w:lineRule="auto"/>
              <w:ind w:left="27"/>
              <w:rPr>
                <w:rFonts w:ascii="宋体" w:hAnsi="宋体" w:eastAsia="宋体" w:cs="宋体"/>
                <w:sz w:val="22"/>
                <w:szCs w:val="22"/>
              </w:rPr>
            </w:pPr>
          </w:p>
        </w:tc>
        <w:tc>
          <w:tcPr>
            <w:tcW w:w="420" w:type="dxa"/>
            <w:vAlign w:val="top"/>
          </w:tcPr>
          <w:p>
            <w:pPr>
              <w:spacing w:before="148" w:line="186" w:lineRule="auto"/>
              <w:ind w:left="53"/>
              <w:rPr>
                <w:rFonts w:ascii="宋体" w:hAnsi="宋体" w:eastAsia="宋体" w:cs="宋体"/>
                <w:sz w:val="22"/>
                <w:szCs w:val="22"/>
              </w:rPr>
            </w:pPr>
          </w:p>
        </w:tc>
        <w:tc>
          <w:tcPr>
            <w:tcW w:w="390" w:type="dxa"/>
            <w:vAlign w:val="top"/>
          </w:tcPr>
          <w:p>
            <w:pPr>
              <w:spacing w:before="149" w:line="185" w:lineRule="auto"/>
              <w:ind w:left="91"/>
              <w:rPr>
                <w:rFonts w:ascii="宋体" w:hAnsi="宋体" w:eastAsia="宋体" w:cs="宋体"/>
                <w:sz w:val="22"/>
                <w:szCs w:val="22"/>
              </w:rPr>
            </w:pPr>
          </w:p>
        </w:tc>
        <w:tc>
          <w:tcPr>
            <w:tcW w:w="733" w:type="dxa"/>
            <w:vAlign w:val="top"/>
          </w:tcPr>
          <w:p>
            <w:pPr>
              <w:spacing w:before="148" w:line="186" w:lineRule="auto"/>
              <w:ind w:left="23"/>
              <w:rPr>
                <w:rFonts w:ascii="宋体" w:hAnsi="宋体" w:eastAsia="宋体" w:cs="宋体"/>
                <w:sz w:val="22"/>
                <w:szCs w:val="22"/>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工资福利支出</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173.06</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173.06</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173.06</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173.06</w:t>
            </w:r>
          </w:p>
        </w:tc>
        <w:tc>
          <w:tcPr>
            <w:tcW w:w="99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657" w:hRule="atLeast"/>
        </w:trPr>
        <w:tc>
          <w:tcPr>
            <w:tcW w:w="788" w:type="dxa"/>
            <w:vAlign w:val="top"/>
          </w:tcPr>
          <w:p>
            <w:pPr>
              <w:spacing w:before="98" w:line="187" w:lineRule="auto"/>
              <w:ind w:left="39"/>
              <w:rPr>
                <w:rFonts w:ascii="宋体" w:hAnsi="宋体" w:eastAsia="宋体" w:cs="宋体"/>
                <w:sz w:val="22"/>
                <w:szCs w:val="22"/>
              </w:rPr>
            </w:pPr>
          </w:p>
        </w:tc>
        <w:tc>
          <w:tcPr>
            <w:tcW w:w="420" w:type="dxa"/>
            <w:vAlign w:val="top"/>
          </w:tcPr>
          <w:p>
            <w:pPr>
              <w:spacing w:before="259" w:line="186" w:lineRule="auto"/>
              <w:ind w:left="53"/>
              <w:rPr>
                <w:rFonts w:ascii="宋体" w:hAnsi="宋体" w:eastAsia="宋体" w:cs="宋体"/>
                <w:sz w:val="22"/>
                <w:szCs w:val="22"/>
              </w:rPr>
            </w:pPr>
          </w:p>
        </w:tc>
        <w:tc>
          <w:tcPr>
            <w:tcW w:w="390" w:type="dxa"/>
            <w:vAlign w:val="top"/>
          </w:tcPr>
          <w:p>
            <w:pPr>
              <w:spacing w:before="260" w:line="185" w:lineRule="auto"/>
              <w:ind w:left="91"/>
              <w:rPr>
                <w:rFonts w:ascii="宋体" w:hAnsi="宋体" w:eastAsia="宋体" w:cs="宋体"/>
                <w:sz w:val="22"/>
                <w:szCs w:val="22"/>
              </w:rPr>
            </w:pPr>
          </w:p>
        </w:tc>
        <w:tc>
          <w:tcPr>
            <w:tcW w:w="733" w:type="dxa"/>
            <w:vAlign w:val="top"/>
          </w:tcPr>
          <w:p>
            <w:pPr>
              <w:spacing w:before="259" w:line="186" w:lineRule="auto"/>
              <w:ind w:left="23"/>
              <w:rPr>
                <w:rFonts w:ascii="宋体" w:hAnsi="宋体" w:eastAsia="宋体" w:cs="宋体"/>
                <w:sz w:val="22"/>
                <w:szCs w:val="22"/>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基本工资</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69.51</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69.51</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69.51</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69.51</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657" w:hRule="atLeast"/>
        </w:trPr>
        <w:tc>
          <w:tcPr>
            <w:tcW w:w="788" w:type="dxa"/>
            <w:vAlign w:val="top"/>
          </w:tcPr>
          <w:p>
            <w:pPr>
              <w:spacing w:before="98" w:line="187" w:lineRule="auto"/>
              <w:ind w:left="26"/>
              <w:rPr>
                <w:rFonts w:ascii="宋体" w:hAnsi="宋体" w:eastAsia="宋体" w:cs="宋体"/>
                <w:sz w:val="22"/>
                <w:szCs w:val="22"/>
              </w:rPr>
            </w:pPr>
          </w:p>
        </w:tc>
        <w:tc>
          <w:tcPr>
            <w:tcW w:w="420" w:type="dxa"/>
            <w:vAlign w:val="top"/>
          </w:tcPr>
          <w:p>
            <w:pPr>
              <w:spacing w:before="260" w:line="186" w:lineRule="auto"/>
              <w:ind w:left="53"/>
              <w:rPr>
                <w:rFonts w:ascii="宋体" w:hAnsi="宋体" w:eastAsia="宋体" w:cs="宋体"/>
                <w:sz w:val="22"/>
                <w:szCs w:val="22"/>
              </w:rPr>
            </w:pPr>
          </w:p>
        </w:tc>
        <w:tc>
          <w:tcPr>
            <w:tcW w:w="390" w:type="dxa"/>
            <w:vAlign w:val="top"/>
          </w:tcPr>
          <w:p>
            <w:pPr>
              <w:spacing w:before="261" w:line="185" w:lineRule="auto"/>
              <w:ind w:left="91"/>
              <w:rPr>
                <w:rFonts w:ascii="宋体" w:hAnsi="宋体" w:eastAsia="宋体" w:cs="宋体"/>
                <w:sz w:val="22"/>
                <w:szCs w:val="22"/>
              </w:rPr>
            </w:pPr>
          </w:p>
        </w:tc>
        <w:tc>
          <w:tcPr>
            <w:tcW w:w="733" w:type="dxa"/>
            <w:vAlign w:val="top"/>
          </w:tcPr>
          <w:p>
            <w:pPr>
              <w:spacing w:before="260" w:line="186" w:lineRule="auto"/>
              <w:ind w:left="23"/>
              <w:rPr>
                <w:rFonts w:ascii="宋体" w:hAnsi="宋体" w:eastAsia="宋体" w:cs="宋体"/>
                <w:sz w:val="22"/>
                <w:szCs w:val="22"/>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津贴补贴</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44.94</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44.94</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44.94</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44.94</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657" w:hRule="atLeast"/>
        </w:trPr>
        <w:tc>
          <w:tcPr>
            <w:tcW w:w="788"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position w:val="0"/>
                <w:sz w:val="22"/>
                <w:szCs w:val="22"/>
                <w:u w:val="none"/>
                <w:shd w:val="clear" w:color="auto" w:fill="auto"/>
                <w:lang w:val="en-US" w:eastAsia="zh-CN" w:bidi="en-US"/>
              </w:rPr>
              <w:t>301</w:t>
            </w:r>
          </w:p>
        </w:tc>
        <w:tc>
          <w:tcPr>
            <w:tcW w:w="390" w:type="dxa"/>
            <w:vAlign w:val="top"/>
          </w:tcPr>
          <w:p>
            <w:pPr>
              <w:spacing w:before="261" w:line="185" w:lineRule="auto"/>
              <w:ind w:left="9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02</w:t>
            </w:r>
          </w:p>
        </w:tc>
        <w:tc>
          <w:tcPr>
            <w:tcW w:w="7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地方津贴补贴</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42.72</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42.72</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42.72</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42.72</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301</w:t>
            </w: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301</w:t>
            </w:r>
          </w:p>
        </w:tc>
        <w:tc>
          <w:tcPr>
            <w:tcW w:w="733" w:type="dxa"/>
            <w:vAlign w:val="top"/>
          </w:tcPr>
          <w:p>
            <w:pPr>
              <w:spacing w:before="232" w:line="186" w:lineRule="auto"/>
              <w:ind w:left="23"/>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其他津贴补贴</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2.23</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2.23</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2.23</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2.23</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奖金</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5.79</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5.79</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5.79</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5.79</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301</w:t>
            </w: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03</w:t>
            </w:r>
          </w:p>
        </w:tc>
        <w:tc>
          <w:tcPr>
            <w:tcW w:w="733" w:type="dxa"/>
            <w:vAlign w:val="top"/>
          </w:tcPr>
          <w:p>
            <w:pPr>
              <w:spacing w:before="232" w:line="186" w:lineRule="auto"/>
              <w:ind w:left="23"/>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年终一次性奖金</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5.79</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5.79</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5.79</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5.79</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机关事业单位基本养老保险缴费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19.25</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19.25</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19.25</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19.25</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职工基本医疗保险缴费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7.24</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7.24</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7.24</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7.24</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其他社会保障缴费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3.01</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3.01</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3.01</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3.01</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301</w:t>
            </w:r>
          </w:p>
        </w:tc>
        <w:tc>
          <w:tcPr>
            <w:tcW w:w="390" w:type="dxa"/>
            <w:vAlign w:val="center"/>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en-US"/>
              </w:rPr>
              <w:t>12</w:t>
            </w:r>
          </w:p>
        </w:tc>
        <w:tc>
          <w:tcPr>
            <w:tcW w:w="733" w:type="dxa"/>
            <w:vAlign w:val="top"/>
          </w:tcPr>
          <w:p>
            <w:pPr>
              <w:spacing w:before="232" w:line="186" w:lineRule="auto"/>
              <w:ind w:left="23"/>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工伤保险</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0.96</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0.96</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0.96</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0.96</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301</w:t>
            </w: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en-US"/>
              </w:rPr>
              <w:t>12</w:t>
            </w: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生育保险</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0.12</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0.12</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0.12</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0.12</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301</w:t>
            </w: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en-US"/>
              </w:rPr>
              <w:t>12</w:t>
            </w: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其他社会保障缴费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1.92</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1.92</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1.92</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1.92</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住房公积金</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23.32</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23.32</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23.32</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23.32</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商品和服务支出</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79.47</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48.75</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48.75</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48.75</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办公费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11.19</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11.19</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11.19</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11.19</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印刷费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0.30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0.30</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0.30</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0.30</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水费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0.50</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0.50</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0.50</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电费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2.80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2.80</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2.80</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2.80</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邮电费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2.36</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2.36</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2.36</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2.36</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物业管理费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2.00</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2.00</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2.00</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差旅费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3.80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3.80</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3.80</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3.80</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培训费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3.48</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3.48</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3.48</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3.48</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公务接待费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0.80</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0.80</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0.80</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工会经费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3.89</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3.89</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3.89</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3.89</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福利费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2.09</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2.09</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2.09</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2.09</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公务用车运行维护费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2.60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2.60</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2.60</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2.60</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其他交通费用</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12.95</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12.95</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12.95</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12.95</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其他商品和服务支出</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30.72</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对个人和家庭的补助</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86.47</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86.47</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86.47</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18.51</w:t>
            </w:r>
          </w:p>
        </w:tc>
        <w:tc>
          <w:tcPr>
            <w:tcW w:w="99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67.96</w:t>
            </w: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离休费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11.80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11.80</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11.80</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11.80</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生活补助</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13.50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13.50</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13.50</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0.82</w:t>
            </w:r>
          </w:p>
        </w:tc>
        <w:tc>
          <w:tcPr>
            <w:tcW w:w="99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12.68</w:t>
            </w: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医疗费补助</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5.85</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5.85</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5.85</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5.85</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奖励金</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0.04</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0.04</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0.04</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0.04</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其他对个人和家庭的补助</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55.27</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55.27</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55.27</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9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55.27</w:t>
            </w: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资本性支出（基本建设）</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100.00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基础设施建设</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100.00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资本性支出</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1,089.50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基础设施建设</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791.50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其他资本性支出</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298.00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对企业补助</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1.70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其他对企业补助</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1.70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71"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夹江县公路建设服务中心</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852.44</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751.91</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751.91</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301.91</w:t>
            </w:r>
          </w:p>
        </w:tc>
        <w:tc>
          <w:tcPr>
            <w:tcW w:w="99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450.00</w:t>
            </w: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工资福利支出</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229.28</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229.28</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229.28</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229.28</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基本工资</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90.44</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90.44</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90.44</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90.44</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津贴补贴</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3.20</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3.20</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3.20</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301</w:t>
            </w: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02</w:t>
            </w:r>
          </w:p>
        </w:tc>
        <w:tc>
          <w:tcPr>
            <w:tcW w:w="7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512002</w:t>
            </w: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其他津贴补贴</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3.20</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3.20</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3.20</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绩效工资</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65.09</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65.09</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65.09</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65.09</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机关事业单位基本养老保险缴费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25.40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25.40</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25.40</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25.40</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职工基本医疗保险缴费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10.19</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10.19</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10.19</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10.19</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其他社会保障缴费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4.92</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4.92</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4.92</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4.92</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301</w:t>
            </w: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en-US"/>
              </w:rPr>
              <w:t>12</w:t>
            </w: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工伤保险</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1.27</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1.27</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1.27</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1.27</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vAlign w:val="top"/>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301</w:t>
            </w: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en-US"/>
              </w:rPr>
              <w:t>12</w:t>
            </w: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生育保险</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0.16</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0.16</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0.16</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0.16</w:t>
            </w:r>
          </w:p>
        </w:tc>
        <w:tc>
          <w:tcPr>
            <w:tcW w:w="990" w:type="dxa"/>
            <w:vAlign w:val="top"/>
          </w:tcPr>
          <w:p>
            <w:pPr>
              <w:rPr>
                <w:rFonts w:ascii="Arial"/>
                <w:sz w:val="21"/>
              </w:rPr>
            </w:pPr>
          </w:p>
        </w:tc>
        <w:tc>
          <w:tcPr>
            <w:tcW w:w="855" w:type="dxa"/>
            <w:vAlign w:val="top"/>
          </w:tcPr>
          <w:p>
            <w:pPr>
              <w:rPr>
                <w:rFonts w:ascii="Arial"/>
                <w:sz w:val="21"/>
              </w:rPr>
            </w:pPr>
          </w:p>
        </w:tc>
        <w:tc>
          <w:tcPr>
            <w:tcW w:w="771" w:type="dxa"/>
            <w:vAlign w:val="top"/>
          </w:tcPr>
          <w:p>
            <w:pPr>
              <w:rPr>
                <w:rFonts w:ascii="Arial"/>
                <w:sz w:val="21"/>
              </w:rPr>
            </w:pPr>
          </w:p>
        </w:tc>
        <w:tc>
          <w:tcPr>
            <w:tcW w:w="983" w:type="dxa"/>
            <w:vAlign w:val="top"/>
          </w:tcPr>
          <w:p>
            <w:pPr>
              <w:rPr>
                <w:rFonts w:ascii="Arial"/>
                <w:sz w:val="21"/>
              </w:rPr>
            </w:pPr>
          </w:p>
        </w:tc>
        <w:tc>
          <w:tcPr>
            <w:tcW w:w="969"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301</w:t>
            </w: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en-US"/>
              </w:rPr>
              <w:t>12</w:t>
            </w: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2926" w:type="dxa"/>
            <w:gridSpan w:val="2"/>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en-US"/>
              </w:rPr>
              <w:t>失业保险</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0.95</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0.95</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0.95</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0.95</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301</w:t>
            </w: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en-US"/>
              </w:rPr>
              <w:t>12</w:t>
            </w: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其他社会保障缴费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2.54</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2.54</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2.54</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2.54</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住房公积金</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28.16</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28.16</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28.16</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28.16</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其他工资福利支出</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1.88</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1.88</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1.88</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1.88</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商品和服务支出</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591.24</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490.71</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490.71</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53.71</w:t>
            </w:r>
          </w:p>
        </w:tc>
        <w:tc>
          <w:tcPr>
            <w:tcW w:w="99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437.00</w:t>
            </w: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86" w:hRule="atLeast"/>
        </w:trPr>
        <w:tc>
          <w:tcPr>
            <w:tcW w:w="788" w:type="dxa"/>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办公费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7.16</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7.16</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7.16</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7.16</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w:t>
            </w:r>
            <w:r>
              <w:rPr>
                <w:rFonts w:hint="eastAsia" w:ascii="宋体" w:hAnsi="宋体" w:eastAsia="宋体" w:cs="宋体"/>
                <w:i w:val="0"/>
                <w:color w:val="000000"/>
                <w:spacing w:val="0"/>
                <w:w w:val="100"/>
                <w:kern w:val="0"/>
                <w:position w:val="0"/>
                <w:sz w:val="22"/>
                <w:szCs w:val="22"/>
                <w:u w:val="none"/>
                <w:shd w:val="clear" w:color="auto" w:fill="auto"/>
                <w:lang w:val="en-US" w:eastAsia="zh-CN" w:bidi="en-US"/>
              </w:rPr>
              <w:t>手续费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0.15</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0.15</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0.15</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0.15</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电费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2.16</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2.16</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2.16</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2.16</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邮电费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1.14</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1.14</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1.14</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1.14</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租赁费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8.00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8.00</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8.00</w:t>
            </w:r>
          </w:p>
        </w:tc>
        <w:tc>
          <w:tcPr>
            <w:tcW w:w="960" w:type="dxa"/>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9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8.00</w:t>
            </w: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差旅费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16.00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16.00</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16.00</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16.00</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维修（护）费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113.53</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13.00</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13.00</w:t>
            </w:r>
          </w:p>
        </w:tc>
        <w:tc>
          <w:tcPr>
            <w:tcW w:w="960" w:type="dxa"/>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9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13.00</w:t>
            </w: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培训费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4.52</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4.52</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4.52</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4.52</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公务接待费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0.50</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0.50</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0.50</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委托业务费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328.00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328.00</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328.00</w:t>
            </w:r>
          </w:p>
        </w:tc>
        <w:tc>
          <w:tcPr>
            <w:tcW w:w="960" w:type="dxa"/>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9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328.00</w:t>
            </w: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工会经费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4.64</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4.64</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4.64</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4.64</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福利费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8.53</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8.53</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8.53</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8.53</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公务用车运行维护费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8.00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8.00</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8.00</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8.00</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其他交通费用</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88.00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88.00</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88.00</w:t>
            </w:r>
          </w:p>
        </w:tc>
        <w:tc>
          <w:tcPr>
            <w:tcW w:w="960" w:type="dxa"/>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9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88.00</w:t>
            </w: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其他商品和服务支出</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0.90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0.90</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0.90</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0.90</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对个人和家庭的补助</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15.68</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15.68</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15.68</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15.68</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生活补助</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15.66</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15.66</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15.66</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15.66</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奖励金</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0.02</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0.02</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0.02</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0.02</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资本性支出（基本建设）</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3.24</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3.24</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3.24</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3.24</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办公设备购置</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3.24</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3.24</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3.24</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3.24</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615"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资本性支出</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13.00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13.00</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13.00</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9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13.00</w:t>
            </w: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其他资本性支出</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13.00</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13.00</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13.00</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9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13.00</w:t>
            </w: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夹江县运输中心</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275.78</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275.78</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275.78</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257.60</w:t>
            </w:r>
          </w:p>
        </w:tc>
        <w:tc>
          <w:tcPr>
            <w:tcW w:w="99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18.18</w:t>
            </w: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72"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工资福利支出</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209.26</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209.26</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209.26</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194.45</w:t>
            </w:r>
          </w:p>
        </w:tc>
        <w:tc>
          <w:tcPr>
            <w:tcW w:w="99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14.82</w:t>
            </w: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基本工资</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88.59</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88.59</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88.59</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76.11</w:t>
            </w:r>
          </w:p>
        </w:tc>
        <w:tc>
          <w:tcPr>
            <w:tcW w:w="99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12.48</w:t>
            </w: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津贴补贴</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50.71</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50.71</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50.71</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50.71</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position w:val="0"/>
                <w:sz w:val="22"/>
                <w:szCs w:val="22"/>
                <w:u w:val="none"/>
                <w:shd w:val="clear" w:color="auto" w:fill="auto"/>
                <w:lang w:val="en-US" w:eastAsia="zh-CN" w:bidi="en-US"/>
              </w:rPr>
              <w:t>301</w:t>
            </w:r>
          </w:p>
        </w:tc>
        <w:tc>
          <w:tcPr>
            <w:tcW w:w="390" w:type="dxa"/>
            <w:vAlign w:val="top"/>
          </w:tcPr>
          <w:p>
            <w:pPr>
              <w:spacing w:before="261" w:line="185" w:lineRule="auto"/>
              <w:ind w:left="91" w:leftChars="0" w:right="0" w:rightChars="0" w:firstLine="0" w:firstLineChars="0"/>
              <w:rPr>
                <w:rFonts w:hint="eastAsia" w:ascii="宋体" w:hAnsi="宋体" w:eastAsia="宋体" w:cs="宋体"/>
                <w:color w:val="000000"/>
                <w:spacing w:val="0"/>
                <w:w w:val="100"/>
                <w:position w:val="0"/>
                <w:sz w:val="22"/>
                <w:szCs w:val="22"/>
                <w:shd w:val="clear" w:color="auto" w:fill="auto"/>
                <w:lang w:val="en-US" w:eastAsia="zh-CN" w:bidi="en-US"/>
              </w:rPr>
            </w:pPr>
            <w:r>
              <w:rPr>
                <w:rFonts w:hint="eastAsia" w:ascii="宋体" w:hAnsi="宋体" w:eastAsia="宋体" w:cs="宋体"/>
                <w:sz w:val="22"/>
                <w:szCs w:val="22"/>
                <w:lang w:val="en-US" w:eastAsia="zh-CN"/>
              </w:rPr>
              <w:t>02</w:t>
            </w:r>
          </w:p>
        </w:tc>
        <w:tc>
          <w:tcPr>
            <w:tcW w:w="733" w:type="dxa"/>
            <w:vAlign w:val="center"/>
          </w:tcPr>
          <w:p>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512003</w:t>
            </w: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地方津贴补贴</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25.48</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25.48</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25.48</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25.48</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301</w:t>
            </w:r>
          </w:p>
        </w:tc>
        <w:tc>
          <w:tcPr>
            <w:tcW w:w="390" w:type="dxa"/>
            <w:vAlign w:val="center"/>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en-US"/>
              </w:rPr>
              <w:t>02</w:t>
            </w:r>
          </w:p>
        </w:tc>
        <w:tc>
          <w:tcPr>
            <w:tcW w:w="733" w:type="dxa"/>
            <w:vAlign w:val="top"/>
          </w:tcPr>
          <w:p>
            <w:pPr>
              <w:spacing w:before="232" w:line="186" w:lineRule="auto"/>
              <w:ind w:left="23" w:leftChars="0" w:right="0" w:rightChars="0" w:firstLine="0" w:firstLineChars="0"/>
              <w:rPr>
                <w:rFonts w:hint="default" w:ascii="宋体" w:hAnsi="宋体" w:eastAsia="宋体" w:cs="宋体"/>
                <w:color w:val="000000"/>
                <w:spacing w:val="0"/>
                <w:w w:val="100"/>
                <w:position w:val="0"/>
                <w:sz w:val="22"/>
                <w:szCs w:val="22"/>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512003</w:t>
            </w: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其他津贴补贴</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25.23</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25.23</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25.23</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25.23</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301</w:t>
            </w:r>
          </w:p>
        </w:tc>
        <w:tc>
          <w:tcPr>
            <w:tcW w:w="390" w:type="dxa"/>
            <w:vAlign w:val="center"/>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en-US"/>
              </w:rPr>
              <w:t>03</w:t>
            </w:r>
          </w:p>
        </w:tc>
        <w:tc>
          <w:tcPr>
            <w:tcW w:w="733" w:type="dxa"/>
            <w:vAlign w:val="top"/>
          </w:tcPr>
          <w:p>
            <w:pPr>
              <w:spacing w:before="232" w:line="186" w:lineRule="auto"/>
              <w:ind w:left="23" w:leftChars="0" w:right="0" w:rightChars="0" w:firstLine="0" w:firstLineChars="0"/>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512003</w:t>
            </w: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奖金</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6.34</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6.34</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6.34</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6.34</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年终一次性奖金</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6.34</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6.34</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6.34</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6.34</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788" w:type="dxa"/>
          </w:tcPr>
          <w:p>
            <w:pPr>
              <w:spacing w:before="232" w:line="186" w:lineRule="auto"/>
              <w:ind w:left="27"/>
              <w:rPr>
                <w:rFonts w:ascii="宋体" w:hAnsi="宋体" w:eastAsia="宋体" w:cs="宋体"/>
                <w:sz w:val="22"/>
                <w:szCs w:val="22"/>
              </w:rPr>
            </w:pPr>
          </w:p>
        </w:tc>
        <w:tc>
          <w:tcPr>
            <w:tcW w:w="42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390"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机关事业单位基本养老保险缴费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21.31</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21.31</w:t>
            </w:r>
          </w:p>
        </w:tc>
        <w:tc>
          <w:tcPr>
            <w:tcW w:w="103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21.31</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21.31</w:t>
            </w:r>
          </w:p>
        </w:tc>
        <w:tc>
          <w:tcPr>
            <w:tcW w:w="990" w:type="dxa"/>
          </w:tcPr>
          <w:p>
            <w:pPr>
              <w:rPr>
                <w:rFonts w:ascii="Arial"/>
                <w:sz w:val="21"/>
              </w:rPr>
            </w:pPr>
          </w:p>
        </w:tc>
        <w:tc>
          <w:tcPr>
            <w:tcW w:w="855" w:type="dxa"/>
          </w:tcPr>
          <w:p>
            <w:pPr>
              <w:rPr>
                <w:rFonts w:ascii="Arial"/>
                <w:sz w:val="21"/>
              </w:rPr>
            </w:pPr>
          </w:p>
        </w:tc>
        <w:tc>
          <w:tcPr>
            <w:tcW w:w="771" w:type="dxa"/>
          </w:tcPr>
          <w:p>
            <w:pPr>
              <w:rPr>
                <w:rFonts w:ascii="Arial"/>
                <w:sz w:val="21"/>
              </w:rPr>
            </w:pPr>
          </w:p>
        </w:tc>
        <w:tc>
          <w:tcPr>
            <w:tcW w:w="983" w:type="dxa"/>
          </w:tcPr>
          <w:p>
            <w:pPr>
              <w:rPr>
                <w:rFonts w:ascii="Arial"/>
                <w:sz w:val="21"/>
              </w:rPr>
            </w:pPr>
          </w:p>
        </w:tc>
        <w:tc>
          <w:tcPr>
            <w:tcW w:w="969"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0" w:type="auto"/>
          </w:tcPr>
          <w:p>
            <w:pPr>
              <w:spacing w:before="232" w:line="186" w:lineRule="auto"/>
              <w:ind w:left="27"/>
              <w:rPr>
                <w:rFonts w:ascii="宋体" w:hAnsi="宋体" w:eastAsia="宋体" w:cs="宋体"/>
                <w:sz w:val="22"/>
                <w:szCs w:val="22"/>
              </w:rPr>
            </w:pPr>
          </w:p>
        </w:tc>
        <w:tc>
          <w:tcPr>
            <w:tcW w:w="0" w:type="auto"/>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0" w:type="auto"/>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职业年金缴费</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4.04</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4.04</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4.04</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4.04</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0" w:type="auto"/>
          </w:tcPr>
          <w:p>
            <w:pPr>
              <w:spacing w:before="232" w:line="186" w:lineRule="auto"/>
              <w:ind w:left="27"/>
              <w:rPr>
                <w:rFonts w:ascii="宋体" w:hAnsi="宋体" w:eastAsia="宋体" w:cs="宋体"/>
                <w:sz w:val="22"/>
                <w:szCs w:val="22"/>
              </w:rPr>
            </w:pPr>
          </w:p>
        </w:tc>
        <w:tc>
          <w:tcPr>
            <w:tcW w:w="0" w:type="auto"/>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0" w:type="auto"/>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职工基本医疗保险缴费</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8.22</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8.22</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8.22</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8.22</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0" w:type="auto"/>
          </w:tcPr>
          <w:p>
            <w:pPr>
              <w:spacing w:before="232" w:line="186" w:lineRule="auto"/>
              <w:ind w:left="27"/>
              <w:rPr>
                <w:rFonts w:ascii="宋体" w:hAnsi="宋体" w:eastAsia="宋体" w:cs="宋体"/>
                <w:sz w:val="22"/>
                <w:szCs w:val="22"/>
              </w:rPr>
            </w:pPr>
          </w:p>
        </w:tc>
        <w:tc>
          <w:tcPr>
            <w:tcW w:w="0" w:type="auto"/>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0" w:type="auto"/>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733" w:type="dxa"/>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其他社会保障缴费</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3.62</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3.62</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3.62</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3.62</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0" w:type="auto"/>
          </w:tcPr>
          <w:p>
            <w:pPr>
              <w:spacing w:before="232" w:line="186" w:lineRule="auto"/>
              <w:ind w:left="27"/>
              <w:rPr>
                <w:rFonts w:ascii="宋体" w:hAnsi="宋体" w:eastAsia="宋体" w:cs="宋体"/>
                <w:sz w:val="22"/>
                <w:szCs w:val="22"/>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301</w:t>
            </w: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en-US"/>
              </w:rPr>
              <w:t>12</w:t>
            </w: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512003</w:t>
            </w: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工伤保险</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1.23</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1.23</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1.23</w:t>
            </w:r>
          </w:p>
        </w:tc>
        <w:tc>
          <w:tcPr>
            <w:tcW w:w="960"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1.07</w:t>
            </w:r>
          </w:p>
        </w:tc>
        <w:tc>
          <w:tcPr>
            <w:tcW w:w="990" w:type="dxa"/>
            <w:vAlign w:val="center"/>
          </w:tcPr>
          <w:p>
            <w:pPr>
              <w:keepNext w:val="0"/>
              <w:keepLines w:val="0"/>
              <w:widowControl/>
              <w:suppressLineNumbers w:val="0"/>
              <w:ind w:left="0" w:leftChars="0" w:right="0" w:rightChars="0" w:firstLine="0" w:firstLineChars="0"/>
              <w:jc w:val="right"/>
              <w:textAlignment w:val="center"/>
              <w:rPr>
                <w:rFonts w:ascii="Arial"/>
                <w:sz w:val="21"/>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1.07</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0" w:type="auto"/>
          </w:tcPr>
          <w:p>
            <w:pPr>
              <w:spacing w:before="232" w:line="186" w:lineRule="auto"/>
              <w:ind w:left="27"/>
              <w:rPr>
                <w:rFonts w:ascii="宋体" w:hAnsi="宋体" w:eastAsia="宋体" w:cs="宋体"/>
                <w:sz w:val="22"/>
                <w:szCs w:val="22"/>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301</w:t>
            </w: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en-US"/>
              </w:rPr>
              <w:t>12</w:t>
            </w:r>
          </w:p>
        </w:tc>
        <w:tc>
          <w:tcPr>
            <w:tcW w:w="733" w:type="dxa"/>
            <w:vAlign w:val="top"/>
          </w:tcPr>
          <w:p>
            <w:pPr>
              <w:spacing w:before="232" w:line="186" w:lineRule="auto"/>
              <w:ind w:left="23" w:leftChars="0" w:right="0" w:rightChars="0" w:firstLine="0" w:firstLineChars="0"/>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512003</w:t>
            </w: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生育保险</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0.13</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0.13</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0.13</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0.13</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0" w:type="auto"/>
          </w:tcPr>
          <w:p>
            <w:pPr>
              <w:spacing w:before="232" w:line="186" w:lineRule="auto"/>
              <w:ind w:left="27"/>
              <w:rPr>
                <w:rFonts w:ascii="宋体" w:hAnsi="宋体" w:eastAsia="宋体" w:cs="宋体"/>
                <w:sz w:val="22"/>
                <w:szCs w:val="22"/>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301</w:t>
            </w: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en-US"/>
              </w:rPr>
              <w:t>12</w:t>
            </w:r>
          </w:p>
        </w:tc>
        <w:tc>
          <w:tcPr>
            <w:tcW w:w="733" w:type="dxa"/>
            <w:vAlign w:val="top"/>
          </w:tcPr>
          <w:p>
            <w:pPr>
              <w:spacing w:before="232" w:line="186" w:lineRule="auto"/>
              <w:ind w:left="23" w:leftChars="0" w:right="0" w:rightChars="0" w:firstLine="0" w:firstLineChars="0"/>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512003</w:t>
            </w:r>
          </w:p>
        </w:tc>
        <w:tc>
          <w:tcPr>
            <w:tcW w:w="2926" w:type="dxa"/>
            <w:gridSpan w:val="2"/>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en-US"/>
              </w:rPr>
              <w:t>失业保险</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0.13</w:t>
            </w:r>
          </w:p>
        </w:tc>
        <w:tc>
          <w:tcPr>
            <w:tcW w:w="106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0.13</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0.13</w:t>
            </w:r>
          </w:p>
        </w:tc>
        <w:tc>
          <w:tcPr>
            <w:tcW w:w="0" w:type="auto"/>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0.13</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0" w:type="auto"/>
          </w:tcPr>
          <w:p>
            <w:pPr>
              <w:spacing w:before="232" w:line="186" w:lineRule="auto"/>
              <w:ind w:left="27"/>
              <w:rPr>
                <w:rFonts w:ascii="宋体" w:hAnsi="宋体" w:eastAsia="宋体" w:cs="宋体"/>
                <w:sz w:val="22"/>
                <w:szCs w:val="22"/>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301</w:t>
            </w: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en-US"/>
              </w:rPr>
              <w:t>12</w:t>
            </w:r>
          </w:p>
        </w:tc>
        <w:tc>
          <w:tcPr>
            <w:tcW w:w="733" w:type="dxa"/>
            <w:vAlign w:val="top"/>
          </w:tcPr>
          <w:p>
            <w:pPr>
              <w:spacing w:before="232" w:line="186" w:lineRule="auto"/>
              <w:ind w:left="23" w:leftChars="0" w:right="0" w:rightChars="0" w:firstLine="0" w:firstLineChars="0"/>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512003</w:t>
            </w: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其他社会保障缴费</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2.13</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2.13</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2.13</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2.13</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0" w:type="auto"/>
          </w:tcPr>
          <w:p>
            <w:pPr>
              <w:spacing w:before="232" w:line="186" w:lineRule="auto"/>
              <w:ind w:left="27"/>
              <w:rPr>
                <w:rFonts w:ascii="宋体" w:hAnsi="宋体" w:eastAsia="宋体" w:cs="宋体"/>
                <w:sz w:val="22"/>
                <w:szCs w:val="22"/>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住房公积金</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24.38</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24.38</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24.38</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24.38</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0" w:type="auto"/>
          </w:tcPr>
          <w:p>
            <w:pPr>
              <w:spacing w:before="232" w:line="186" w:lineRule="auto"/>
              <w:ind w:left="27"/>
              <w:rPr>
                <w:rFonts w:ascii="宋体" w:hAnsi="宋体" w:eastAsia="宋体" w:cs="宋体"/>
                <w:sz w:val="22"/>
                <w:szCs w:val="22"/>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医疗费</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2.04</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2.04</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2.04</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2.04</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0" w:type="auto"/>
          </w:tcPr>
          <w:p>
            <w:pPr>
              <w:spacing w:before="232" w:line="186" w:lineRule="auto"/>
              <w:ind w:left="27"/>
              <w:rPr>
                <w:rFonts w:ascii="宋体" w:hAnsi="宋体" w:eastAsia="宋体" w:cs="宋体"/>
                <w:sz w:val="22"/>
                <w:szCs w:val="22"/>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商品和服务支出</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47.00</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47.00</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47.00</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47.00</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0" w:type="auto"/>
          </w:tcPr>
          <w:p>
            <w:pPr>
              <w:spacing w:before="232" w:line="186" w:lineRule="auto"/>
              <w:ind w:left="27"/>
              <w:rPr>
                <w:rFonts w:ascii="宋体" w:hAnsi="宋体" w:eastAsia="宋体" w:cs="宋体"/>
                <w:sz w:val="22"/>
                <w:szCs w:val="22"/>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办公费</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7.72</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7.72</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7.72</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7.72</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0" w:type="auto"/>
          </w:tcPr>
          <w:p>
            <w:pPr>
              <w:spacing w:before="232" w:line="186" w:lineRule="auto"/>
              <w:ind w:left="27"/>
              <w:rPr>
                <w:rFonts w:ascii="宋体" w:hAnsi="宋体" w:eastAsia="宋体" w:cs="宋体"/>
                <w:sz w:val="22"/>
                <w:szCs w:val="22"/>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电费</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0.50</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0.50</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0.50</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0.50</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0" w:type="auto"/>
          </w:tcPr>
          <w:p>
            <w:pPr>
              <w:spacing w:before="232" w:line="186" w:lineRule="auto"/>
              <w:ind w:left="27"/>
              <w:rPr>
                <w:rFonts w:ascii="宋体" w:hAnsi="宋体" w:eastAsia="宋体" w:cs="宋体"/>
                <w:sz w:val="22"/>
                <w:szCs w:val="22"/>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邮电费</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1.20</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1.20</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1.20</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1.20</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0" w:type="auto"/>
          </w:tcPr>
          <w:p>
            <w:pPr>
              <w:spacing w:before="232" w:line="186" w:lineRule="auto"/>
              <w:ind w:left="27"/>
              <w:rPr>
                <w:rFonts w:ascii="宋体" w:hAnsi="宋体" w:eastAsia="宋体" w:cs="宋体"/>
                <w:sz w:val="22"/>
                <w:szCs w:val="22"/>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差旅费</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8.00</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8.00</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8.00</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8.00</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0" w:type="auto"/>
          </w:tcPr>
          <w:p>
            <w:pPr>
              <w:spacing w:before="232" w:line="186" w:lineRule="auto"/>
              <w:ind w:left="27"/>
              <w:rPr>
                <w:rFonts w:ascii="宋体" w:hAnsi="宋体" w:eastAsia="宋体" w:cs="宋体"/>
                <w:sz w:val="22"/>
                <w:szCs w:val="22"/>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培训费</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3.81</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3.81</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3.81</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3.81</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0" w:type="auto"/>
          </w:tcPr>
          <w:p>
            <w:pPr>
              <w:spacing w:before="232" w:line="186" w:lineRule="auto"/>
              <w:ind w:left="27"/>
              <w:rPr>
                <w:rFonts w:ascii="宋体" w:hAnsi="宋体" w:eastAsia="宋体" w:cs="宋体"/>
                <w:sz w:val="22"/>
                <w:szCs w:val="22"/>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工会经费</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4.26</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4.26</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4.26</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4.26</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0" w:type="auto"/>
          </w:tcPr>
          <w:p>
            <w:pPr>
              <w:spacing w:before="232" w:line="186" w:lineRule="auto"/>
              <w:ind w:left="27"/>
              <w:rPr>
                <w:rFonts w:ascii="宋体" w:hAnsi="宋体" w:eastAsia="宋体" w:cs="宋体"/>
                <w:sz w:val="22"/>
                <w:szCs w:val="22"/>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福利费</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2.28</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2.28</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2.28</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2.28</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0" w:type="auto"/>
          </w:tcPr>
          <w:p>
            <w:pPr>
              <w:spacing w:before="232" w:line="186" w:lineRule="auto"/>
              <w:ind w:left="27"/>
              <w:rPr>
                <w:rFonts w:ascii="宋体" w:hAnsi="宋体" w:eastAsia="宋体" w:cs="宋体"/>
                <w:sz w:val="22"/>
                <w:szCs w:val="22"/>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公务用车运行维护费</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3.00</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3.00</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3.00</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3.00</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0" w:type="auto"/>
          </w:tcPr>
          <w:p>
            <w:pPr>
              <w:spacing w:before="232" w:line="186" w:lineRule="auto"/>
              <w:ind w:left="27"/>
              <w:rPr>
                <w:rFonts w:ascii="宋体" w:hAnsi="宋体" w:eastAsia="宋体" w:cs="宋体"/>
                <w:sz w:val="22"/>
                <w:szCs w:val="22"/>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其他交通费用</w:t>
            </w:r>
          </w:p>
        </w:tc>
        <w:tc>
          <w:tcPr>
            <w:tcW w:w="110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13.31</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13.31</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13.31</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13.31</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0" w:type="auto"/>
          </w:tcPr>
          <w:p>
            <w:pPr>
              <w:spacing w:before="232" w:line="186" w:lineRule="auto"/>
              <w:ind w:left="27"/>
              <w:rPr>
                <w:rFonts w:ascii="宋体" w:hAnsi="宋体" w:eastAsia="宋体" w:cs="宋体"/>
                <w:sz w:val="22"/>
                <w:szCs w:val="22"/>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其他商品和服务支出</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2.91</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2.91</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2.91</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2.91</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0" w:type="auto"/>
          </w:tcPr>
          <w:p>
            <w:pPr>
              <w:spacing w:before="232" w:line="186" w:lineRule="auto"/>
              <w:ind w:left="27"/>
              <w:rPr>
                <w:rFonts w:ascii="宋体" w:hAnsi="宋体" w:eastAsia="宋体" w:cs="宋体"/>
                <w:sz w:val="22"/>
                <w:szCs w:val="22"/>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对个人和家庭的补助</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19.52</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19.52</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19.52</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16.16</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3.36</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98" w:hRule="atLeast"/>
        </w:trPr>
        <w:tc>
          <w:tcPr>
            <w:tcW w:w="0" w:type="auto"/>
          </w:tcPr>
          <w:p>
            <w:pPr>
              <w:spacing w:before="232" w:line="186" w:lineRule="auto"/>
              <w:ind w:left="27"/>
              <w:rPr>
                <w:rFonts w:ascii="宋体" w:hAnsi="宋体" w:eastAsia="宋体" w:cs="宋体"/>
                <w:sz w:val="22"/>
                <w:szCs w:val="22"/>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p>
        </w:tc>
        <w:tc>
          <w:tcPr>
            <w:tcW w:w="0" w:type="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p>
        </w:tc>
        <w:tc>
          <w:tcPr>
            <w:tcW w:w="733" w:type="dxa"/>
            <w:vAlign w:val="top"/>
          </w:tcPr>
          <w:p>
            <w:pPr>
              <w:spacing w:before="232" w:line="186" w:lineRule="auto"/>
              <w:ind w:left="23" w:leftChars="0" w:right="0" w:rightChars="0" w:firstLine="0" w:firstLineChars="0"/>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2926" w:type="dxa"/>
            <w:gridSpan w:val="2"/>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离休费</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11.65</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11.65</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11.65</w:t>
            </w:r>
          </w:p>
        </w:tc>
        <w:tc>
          <w:tcPr>
            <w:tcW w:w="0" w:type="auto"/>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11.65</w:t>
            </w: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c>
          <w:tcPr>
            <w:tcW w:w="0" w:type="auto"/>
          </w:tcPr>
          <w:p>
            <w:pPr>
              <w:rPr>
                <w:rFonts w:ascii="Arial"/>
                <w:sz w:val="21"/>
              </w:rPr>
            </w:pPr>
          </w:p>
        </w:tc>
      </w:tr>
    </w:tbl>
    <w:p>
      <w:pPr>
        <w:rPr>
          <w:rFonts w:ascii="Arial"/>
          <w:sz w:val="21"/>
        </w:rPr>
      </w:pPr>
    </w:p>
    <w:tbl>
      <w:tblPr>
        <w:tblW w:w="14685" w:type="dxa"/>
        <w:tblInd w:w="0" w:type="dxa"/>
        <w:shd w:val="clear"/>
        <w:tblLayout w:type="autofit"/>
        <w:tblCellMar>
          <w:top w:w="0" w:type="dxa"/>
          <w:left w:w="0" w:type="dxa"/>
          <w:bottom w:w="0" w:type="dxa"/>
          <w:right w:w="0" w:type="dxa"/>
        </w:tblCellMar>
      </w:tblPr>
      <w:tblGrid>
        <w:gridCol w:w="735"/>
        <w:gridCol w:w="735"/>
        <w:gridCol w:w="1605"/>
        <w:gridCol w:w="4920"/>
        <w:gridCol w:w="1365"/>
        <w:gridCol w:w="1365"/>
        <w:gridCol w:w="1365"/>
        <w:gridCol w:w="1365"/>
        <w:gridCol w:w="1230"/>
      </w:tblGrid>
      <w:tr>
        <w:tblPrEx>
          <w:shd w:val="clear"/>
          <w:tblCellMar>
            <w:top w:w="0" w:type="dxa"/>
            <w:left w:w="0" w:type="dxa"/>
            <w:bottom w:w="0" w:type="dxa"/>
            <w:right w:w="0" w:type="dxa"/>
          </w:tblCellMar>
        </w:tblPrEx>
        <w:trPr>
          <w:trHeight w:val="398" w:hRule="atLeast"/>
        </w:trPr>
        <w:tc>
          <w:tcPr>
            <w:tcW w:w="735" w:type="dxa"/>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5" w:type="dxa"/>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920" w:type="dxa"/>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医疗费补助</w:t>
            </w:r>
          </w:p>
        </w:tc>
        <w:tc>
          <w:tcPr>
            <w:tcW w:w="1365" w:type="dxa"/>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4.50</w:t>
            </w:r>
          </w:p>
        </w:tc>
        <w:tc>
          <w:tcPr>
            <w:tcW w:w="1365" w:type="dxa"/>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4.50</w:t>
            </w:r>
          </w:p>
        </w:tc>
        <w:tc>
          <w:tcPr>
            <w:tcW w:w="1365" w:type="dxa"/>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4.50</w:t>
            </w:r>
          </w:p>
        </w:tc>
        <w:tc>
          <w:tcPr>
            <w:tcW w:w="1365" w:type="dxa"/>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4.50</w:t>
            </w:r>
          </w:p>
        </w:tc>
        <w:tc>
          <w:tcPr>
            <w:tcW w:w="1230" w:type="dxa"/>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奖励金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代缴社会保险费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3.36</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夹江县交通运输综合行政执法大队</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376.46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376.46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376.46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278.17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98.29</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274.47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274.47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274.47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217.96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56.51</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126.84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126.84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126.84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82.10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44.73</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59.43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59.43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59.43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59.43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59.43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59.43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59.43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59.43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奖金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6.84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6.84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6.84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6.84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年终一次性奖金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6.84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6.84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6.84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6.84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23.75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23.75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23.75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23.75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职业年金缴费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9.57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9.57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9.57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9.57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15.49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15.49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15.49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11.78</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1.91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1.91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1.91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0.73</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10.14</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0.91</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74.47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74.47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74.47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54.47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20.00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9.65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手续费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3.60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电费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4.80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4.80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4.80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邮电费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0.96</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物业管理费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差旅费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6.00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5.04</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4.81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4.81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4.81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4.81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公务用车运行维护费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7.00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7.00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7.00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其他交通费用</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14.70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14.70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14.70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14.70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3.60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3.60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3.60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对个人和家庭的补助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21.78</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医疗费补助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奖励金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代缴社会保险费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21.78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21.78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21.78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21.78</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夹江县港航中心</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61.53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61.53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61.53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61.53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46.67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46.67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46.67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46.67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17.82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17.82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17.82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17.82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13.07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13.07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13.07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13.07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512007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地方津贴补贴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512007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奖金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512007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年终一次性奖金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512007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512007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512007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邮电费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差旅费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公务用车运行维护费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其他交通费用</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对个人和家庭的补助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生活补助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医疗费补助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奖励金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漹城交通站</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31.90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31.90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31.90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31.90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27.69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27.69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27.69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27.69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10.62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10.62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10.62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10.62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绩效工资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3.66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3.66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3.66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3.66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青衣交通站</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28.10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28.10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28.10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28.10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9.44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9.44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9.44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9.44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绩效工资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5.86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5.86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5.86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5.86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2.96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2.96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2.96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2.96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2.91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2.91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2.91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2.91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1.88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1.88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1.88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1.88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新场交通站</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52.52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52.52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52.52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52.52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45.52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45.52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45.52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45.52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16.90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16.90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16.90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16.90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绩效工资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13.21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13.21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13.21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13.21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6.98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6.98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6.98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6.98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对个人和家庭的补助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奖励金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甘江交通站</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62.54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62.54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62.54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62.54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19.89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19.89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19.89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19.89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绩效工资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6.70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6.70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6.70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6.70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7.14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7.14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7.14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7.14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木城交通站</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50.93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50.93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50.93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50.93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16.14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16.14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16.14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16.14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绩效工资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12.27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12.27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12.27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12.27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对个人和家庭的补助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奖励金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吴场交通站</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66.09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66.09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66.09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66.09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57.62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57.62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57.62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57.62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21.48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21.48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21.48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21.48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绩效工资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7.34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7.34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7.34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7.34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黄土交通站</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36.65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36.65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36.65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36.65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13.32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13.32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13.32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13.32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绩效工资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4.88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4.88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4.88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4.88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对个人和家庭的补助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奖励金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马村交通站</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43.79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43.79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43.79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43.79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38.12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38.12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38.12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38.12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14.49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14.49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14.49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14.49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绩效工资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10.94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10.94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10.94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10.94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对个人和家庭的补助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奖励金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华头交通站</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33.16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33.16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33.16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33.16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28.95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28.95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28.95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28.95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2.63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2.63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2.63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2.63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2.63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2.63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2.63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2.63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绩效工资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3.59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3.59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3.59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3.59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en-US" w:bidi="en-US"/>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
    <w:p>
      <w:pPr>
        <w:spacing w:line="66" w:lineRule="exact"/>
      </w:pPr>
    </w:p>
    <w:p>
      <w:pPr>
        <w:rPr>
          <w:rFonts w:ascii="Arial"/>
          <w:sz w:val="21"/>
        </w:rPr>
      </w:pPr>
    </w:p>
    <w:p>
      <w:pPr>
        <w:sectPr>
          <w:footerReference r:id="rId20" w:type="default"/>
          <w:pgSz w:w="16839" w:h="11906"/>
          <w:pgMar w:top="1012" w:right="1420" w:bottom="856" w:left="1420" w:header="0" w:footer="575" w:gutter="0"/>
          <w:cols w:space="720" w:num="1"/>
        </w:sectPr>
      </w:pPr>
    </w:p>
    <w:p>
      <w:pPr>
        <w:spacing w:line="245" w:lineRule="auto"/>
        <w:rPr>
          <w:rFonts w:ascii="Arial"/>
          <w:sz w:val="21"/>
        </w:rPr>
      </w:pPr>
    </w:p>
    <w:p>
      <w:pPr>
        <w:spacing w:line="246" w:lineRule="auto"/>
        <w:rPr>
          <w:rFonts w:ascii="Arial"/>
          <w:sz w:val="21"/>
        </w:rPr>
      </w:pPr>
    </w:p>
    <w:p>
      <w:pPr>
        <w:spacing w:before="72" w:line="212" w:lineRule="auto"/>
        <w:ind w:right="246"/>
        <w:jc w:val="right"/>
        <w:rPr>
          <w:rFonts w:ascii="宋体" w:hAnsi="宋体" w:eastAsia="宋体" w:cs="宋体"/>
          <w:sz w:val="22"/>
          <w:szCs w:val="22"/>
        </w:rPr>
      </w:pPr>
      <w:r>
        <w:rPr>
          <w:rFonts w:ascii="宋体" w:hAnsi="宋体" w:eastAsia="宋体" w:cs="宋体"/>
          <w:spacing w:val="-7"/>
          <w:sz w:val="22"/>
          <w:szCs w:val="22"/>
        </w:rPr>
        <w:t>公开表 3</w:t>
      </w:r>
    </w:p>
    <w:tbl>
      <w:tblPr>
        <w:tblStyle w:val="30"/>
        <w:tblW w:w="8340" w:type="dxa"/>
        <w:tblInd w:w="2" w:type="dxa"/>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
      <w:tblGrid>
        <w:gridCol w:w="422"/>
        <w:gridCol w:w="300"/>
        <w:gridCol w:w="255"/>
        <w:gridCol w:w="3343"/>
        <w:gridCol w:w="1124"/>
        <w:gridCol w:w="1319"/>
        <w:gridCol w:w="1577"/>
      </w:tblGrid>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48" w:hRule="atLeast"/>
        </w:trPr>
        <w:tc>
          <w:tcPr>
            <w:tcW w:w="8340" w:type="dxa"/>
            <w:gridSpan w:val="7"/>
            <w:tcBorders>
              <w:top w:val="single" w:color="FFFFFF" w:sz="2" w:space="0"/>
              <w:left w:val="single" w:color="FFFFFF" w:sz="2" w:space="0"/>
              <w:bottom w:val="single" w:color="FFFFFF" w:sz="2" w:space="0"/>
              <w:right w:val="single" w:color="FFFFFF" w:sz="2" w:space="0"/>
            </w:tcBorders>
            <w:vAlign w:val="top"/>
          </w:tcPr>
          <w:p>
            <w:pPr>
              <w:spacing w:before="174" w:line="474" w:lineRule="exact"/>
              <w:ind w:left="2420"/>
              <w:rPr>
                <w:rFonts w:ascii="宋体" w:hAnsi="宋体" w:eastAsia="宋体" w:cs="宋体"/>
                <w:sz w:val="31"/>
                <w:szCs w:val="31"/>
              </w:rPr>
            </w:pPr>
            <w:r>
              <w:rPr>
                <w:rFonts w:ascii="宋体" w:hAnsi="宋体" w:eastAsia="宋体" w:cs="宋体"/>
                <w:spacing w:val="14"/>
                <w:position w:val="1"/>
                <w:sz w:val="31"/>
                <w:szCs w:val="31"/>
                <w14:textOutline w14:w="5793" w14:cap="sq" w14:cmpd="sng">
                  <w14:solidFill>
                    <w14:srgbClr w14:val="000000"/>
                  </w14:solidFill>
                  <w14:prstDash w14:val="solid"/>
                  <w14:bevel/>
                </w14:textOutline>
              </w:rPr>
              <w:t>一</w:t>
            </w:r>
            <w:r>
              <w:rPr>
                <w:rFonts w:ascii="宋体" w:hAnsi="宋体" w:eastAsia="宋体" w:cs="宋体"/>
                <w:spacing w:val="9"/>
                <w:position w:val="1"/>
                <w:sz w:val="31"/>
                <w:szCs w:val="31"/>
                <w14:textOutline w14:w="5793" w14:cap="sq" w14:cmpd="sng">
                  <w14:solidFill>
                    <w14:srgbClr w14:val="000000"/>
                  </w14:solidFill>
                  <w14:prstDash w14:val="solid"/>
                  <w14:bevel/>
                </w14:textOutline>
              </w:rPr>
              <w:t>般公共预算支出预算表</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11" w:hRule="atLeast"/>
        </w:trPr>
        <w:tc>
          <w:tcPr>
            <w:tcW w:w="4320" w:type="dxa"/>
            <w:gridSpan w:val="4"/>
            <w:tcBorders>
              <w:top w:val="single" w:color="FFFFFF" w:sz="2" w:space="0"/>
              <w:left w:val="single" w:color="FFFFFF" w:sz="2" w:space="0"/>
              <w:right w:val="single" w:color="FFFFFF" w:sz="2" w:space="0"/>
            </w:tcBorders>
            <w:vAlign w:val="top"/>
          </w:tcPr>
          <w:p>
            <w:pPr>
              <w:spacing w:before="99" w:line="222" w:lineRule="auto"/>
              <w:ind w:left="25"/>
              <w:rPr>
                <w:rFonts w:hint="eastAsia" w:ascii="宋体" w:hAnsi="宋体" w:eastAsia="宋体" w:cs="宋体"/>
                <w:sz w:val="22"/>
                <w:szCs w:val="22"/>
                <w:lang w:eastAsia="zh-CN"/>
              </w:rPr>
            </w:pPr>
            <w:r>
              <w:rPr>
                <w:rFonts w:ascii="宋体" w:hAnsi="宋体" w:eastAsia="宋体" w:cs="宋体"/>
                <w:spacing w:val="-1"/>
                <w:sz w:val="22"/>
                <w:szCs w:val="22"/>
              </w:rPr>
              <w:t>单位：</w:t>
            </w:r>
            <w:r>
              <w:rPr>
                <w:rFonts w:hint="eastAsia" w:ascii="宋体" w:hAnsi="宋体" w:eastAsia="宋体" w:cs="宋体"/>
                <w:spacing w:val="-1"/>
                <w:sz w:val="22"/>
                <w:szCs w:val="22"/>
                <w:lang w:eastAsia="zh-CN"/>
              </w:rPr>
              <w:t>夹江县交通运输局</w:t>
            </w:r>
          </w:p>
        </w:tc>
        <w:tc>
          <w:tcPr>
            <w:tcW w:w="1124" w:type="dxa"/>
            <w:tcBorders>
              <w:top w:val="single" w:color="FFFFFF" w:sz="2" w:space="0"/>
              <w:left w:val="single" w:color="FFFFFF" w:sz="2" w:space="0"/>
              <w:right w:val="single" w:color="FFFFFF" w:sz="2" w:space="0"/>
            </w:tcBorders>
            <w:vAlign w:val="top"/>
          </w:tcPr>
          <w:p>
            <w:pPr>
              <w:rPr>
                <w:rFonts w:ascii="Arial"/>
                <w:sz w:val="21"/>
              </w:rPr>
            </w:pPr>
          </w:p>
        </w:tc>
        <w:tc>
          <w:tcPr>
            <w:tcW w:w="1319" w:type="dxa"/>
            <w:tcBorders>
              <w:top w:val="single" w:color="FFFFFF" w:sz="2" w:space="0"/>
              <w:left w:val="single" w:color="FFFFFF" w:sz="2" w:space="0"/>
              <w:right w:val="single" w:color="FFFFFF" w:sz="2" w:space="0"/>
            </w:tcBorders>
            <w:vAlign w:val="top"/>
          </w:tcPr>
          <w:p>
            <w:pPr>
              <w:rPr>
                <w:rFonts w:ascii="Arial"/>
                <w:sz w:val="21"/>
              </w:rPr>
            </w:pPr>
          </w:p>
        </w:tc>
        <w:tc>
          <w:tcPr>
            <w:tcW w:w="1577" w:type="dxa"/>
            <w:tcBorders>
              <w:top w:val="single" w:color="FFFFFF" w:sz="2" w:space="0"/>
              <w:left w:val="single" w:color="FFFFFF" w:sz="2" w:space="0"/>
              <w:right w:val="single" w:color="FFFFFF" w:sz="2" w:space="0"/>
            </w:tcBorders>
            <w:vAlign w:val="top"/>
          </w:tcPr>
          <w:p>
            <w:pPr>
              <w:spacing w:before="99" w:line="221" w:lineRule="auto"/>
              <w:ind w:left="27"/>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07" w:hRule="atLeast"/>
        </w:trPr>
        <w:tc>
          <w:tcPr>
            <w:tcW w:w="4320" w:type="dxa"/>
            <w:gridSpan w:val="4"/>
            <w:shd w:val="clear" w:color="auto" w:fill="EFF2F7"/>
            <w:vAlign w:val="top"/>
          </w:tcPr>
          <w:p>
            <w:pPr>
              <w:spacing w:before="149" w:line="222" w:lineRule="auto"/>
              <w:ind w:left="1730"/>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项</w:t>
            </w:r>
            <w:r>
              <w:rPr>
                <w:rFonts w:ascii="宋体" w:hAnsi="宋体" w:eastAsia="宋体" w:cs="宋体"/>
                <w:spacing w:val="7"/>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目</w:t>
            </w:r>
          </w:p>
        </w:tc>
        <w:tc>
          <w:tcPr>
            <w:tcW w:w="1124" w:type="dxa"/>
            <w:vMerge w:val="restart"/>
            <w:tcBorders>
              <w:bottom w:val="nil"/>
            </w:tcBorders>
            <w:shd w:val="clear" w:color="auto" w:fill="EFF2F7"/>
            <w:vAlign w:val="top"/>
          </w:tcPr>
          <w:p>
            <w:pPr>
              <w:spacing w:line="294" w:lineRule="auto"/>
              <w:rPr>
                <w:rFonts w:ascii="Arial"/>
                <w:sz w:val="21"/>
              </w:rPr>
            </w:pPr>
          </w:p>
          <w:p>
            <w:pPr>
              <w:spacing w:line="294" w:lineRule="auto"/>
              <w:rPr>
                <w:rFonts w:ascii="Arial"/>
                <w:sz w:val="21"/>
              </w:rPr>
            </w:pPr>
          </w:p>
          <w:p>
            <w:pPr>
              <w:spacing w:before="71" w:line="222" w:lineRule="auto"/>
              <w:ind w:left="348"/>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1319" w:type="dxa"/>
            <w:vMerge w:val="restart"/>
            <w:tcBorders>
              <w:bottom w:val="nil"/>
            </w:tcBorders>
            <w:shd w:val="clear" w:color="auto" w:fill="EFF2F7"/>
            <w:vAlign w:val="top"/>
          </w:tcPr>
          <w:p>
            <w:pPr>
              <w:spacing w:line="433" w:lineRule="auto"/>
              <w:rPr>
                <w:rFonts w:ascii="Arial"/>
                <w:sz w:val="21"/>
              </w:rPr>
            </w:pPr>
          </w:p>
          <w:p>
            <w:pPr>
              <w:spacing w:before="71" w:line="276" w:lineRule="auto"/>
              <w:ind w:left="337" w:right="102" w:hanging="207"/>
              <w:rPr>
                <w:rFonts w:ascii="宋体" w:hAnsi="宋体" w:eastAsia="宋体" w:cs="宋体"/>
                <w:sz w:val="22"/>
                <w:szCs w:val="22"/>
              </w:rPr>
            </w:pPr>
            <w:r>
              <w:rPr>
                <w:rFonts w:ascii="宋体" w:hAnsi="宋体" w:eastAsia="宋体" w:cs="宋体"/>
                <w:spacing w:val="-6"/>
                <w:sz w:val="22"/>
                <w:szCs w:val="22"/>
                <w14:textOutline w14:w="4013" w14:cap="sq" w14:cmpd="sng">
                  <w14:solidFill>
                    <w14:srgbClr w14:val="000000"/>
                  </w14:solidFill>
                  <w14:prstDash w14:val="solid"/>
                  <w14:bevel/>
                </w14:textOutline>
              </w:rPr>
              <w:t>当</w:t>
            </w:r>
            <w:r>
              <w:rPr>
                <w:rFonts w:ascii="宋体" w:hAnsi="宋体" w:eastAsia="宋体" w:cs="宋体"/>
                <w:spacing w:val="-4"/>
                <w:sz w:val="22"/>
                <w:szCs w:val="22"/>
                <w14:textOutline w14:w="4013" w14:cap="sq" w14:cmpd="sng">
                  <w14:solidFill>
                    <w14:srgbClr w14:val="000000"/>
                  </w14:solidFill>
                  <w14:prstDash w14:val="solid"/>
                  <w14:bevel/>
                </w14:textOutline>
              </w:rPr>
              <w:t>年</w:t>
            </w:r>
            <w:r>
              <w:rPr>
                <w:rFonts w:ascii="宋体" w:hAnsi="宋体" w:eastAsia="宋体" w:cs="宋体"/>
                <w:spacing w:val="-3"/>
                <w:sz w:val="22"/>
                <w:szCs w:val="22"/>
                <w14:textOutline w14:w="4013" w14:cap="sq" w14:cmpd="sng">
                  <w14:solidFill>
                    <w14:srgbClr w14:val="000000"/>
                  </w14:solidFill>
                  <w14:prstDash w14:val="solid"/>
                  <w14:bevel/>
                </w14:textOutline>
              </w:rPr>
              <w:t>财政拨</w:t>
            </w:r>
            <w:r>
              <w:rPr>
                <w:rFonts w:ascii="宋体" w:hAnsi="宋体" w:eastAsia="宋体" w:cs="宋体"/>
                <w:sz w:val="22"/>
                <w:szCs w:val="22"/>
              </w:rPr>
              <w:t xml:space="preserve"> </w:t>
            </w:r>
            <w:r>
              <w:rPr>
                <w:rFonts w:ascii="宋体" w:hAnsi="宋体" w:eastAsia="宋体" w:cs="宋体"/>
                <w:spacing w:val="-3"/>
                <w:sz w:val="22"/>
                <w:szCs w:val="22"/>
                <w14:textOutline w14:w="4013" w14:cap="sq" w14:cmpd="sng">
                  <w14:solidFill>
                    <w14:srgbClr w14:val="000000"/>
                  </w14:solidFill>
                  <w14:prstDash w14:val="solid"/>
                  <w14:bevel/>
                </w14:textOutline>
              </w:rPr>
              <w:t>款</w:t>
            </w:r>
            <w:r>
              <w:rPr>
                <w:rFonts w:ascii="宋体" w:hAnsi="宋体" w:eastAsia="宋体" w:cs="宋体"/>
                <w:spacing w:val="-2"/>
                <w:sz w:val="22"/>
                <w:szCs w:val="22"/>
                <w14:textOutline w14:w="4013" w14:cap="sq" w14:cmpd="sng">
                  <w14:solidFill>
                    <w14:srgbClr w14:val="000000"/>
                  </w14:solidFill>
                  <w14:prstDash w14:val="solid"/>
                  <w14:bevel/>
                </w14:textOutline>
              </w:rPr>
              <w:t>安排</w:t>
            </w:r>
          </w:p>
        </w:tc>
        <w:tc>
          <w:tcPr>
            <w:tcW w:w="1577" w:type="dxa"/>
            <w:vMerge w:val="restart"/>
            <w:tcBorders>
              <w:bottom w:val="nil"/>
            </w:tcBorders>
            <w:shd w:val="clear" w:color="auto" w:fill="EFF2F7"/>
            <w:vAlign w:val="top"/>
          </w:tcPr>
          <w:p>
            <w:pPr>
              <w:spacing w:line="293" w:lineRule="auto"/>
              <w:rPr>
                <w:rFonts w:ascii="Arial"/>
                <w:sz w:val="21"/>
              </w:rPr>
            </w:pPr>
          </w:p>
          <w:p>
            <w:pPr>
              <w:spacing w:line="294" w:lineRule="auto"/>
              <w:rPr>
                <w:rFonts w:ascii="Arial"/>
                <w:sz w:val="21"/>
              </w:rPr>
            </w:pPr>
          </w:p>
          <w:p>
            <w:pPr>
              <w:spacing w:before="72" w:line="221" w:lineRule="auto"/>
              <w:ind w:left="135"/>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上年结转安排</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07" w:hRule="atLeast"/>
        </w:trPr>
        <w:tc>
          <w:tcPr>
            <w:tcW w:w="977" w:type="dxa"/>
            <w:gridSpan w:val="3"/>
            <w:shd w:val="clear" w:color="auto" w:fill="EFF2F7"/>
            <w:vAlign w:val="top"/>
          </w:tcPr>
          <w:p>
            <w:pPr>
              <w:spacing w:before="151" w:line="220" w:lineRule="auto"/>
              <w:ind w:left="54"/>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科目</w:t>
            </w:r>
            <w:r>
              <w:rPr>
                <w:rFonts w:ascii="宋体" w:hAnsi="宋体" w:eastAsia="宋体" w:cs="宋体"/>
                <w:spacing w:val="-1"/>
                <w:sz w:val="22"/>
                <w:szCs w:val="22"/>
                <w14:textOutline w14:w="4013" w14:cap="sq" w14:cmpd="sng">
                  <w14:solidFill>
                    <w14:srgbClr w14:val="000000"/>
                  </w14:solidFill>
                  <w14:prstDash w14:val="solid"/>
                  <w14:bevel/>
                </w14:textOutline>
              </w:rPr>
              <w:t>编码</w:t>
            </w:r>
          </w:p>
        </w:tc>
        <w:tc>
          <w:tcPr>
            <w:tcW w:w="3343" w:type="dxa"/>
            <w:vMerge w:val="restart"/>
            <w:tcBorders>
              <w:bottom w:val="nil"/>
            </w:tcBorders>
            <w:shd w:val="clear" w:color="auto" w:fill="EFF2F7"/>
            <w:vAlign w:val="top"/>
          </w:tcPr>
          <w:p>
            <w:pPr>
              <w:spacing w:line="334" w:lineRule="auto"/>
              <w:rPr>
                <w:rFonts w:ascii="Arial"/>
                <w:sz w:val="21"/>
              </w:rPr>
            </w:pPr>
          </w:p>
          <w:p>
            <w:pPr>
              <w:spacing w:before="72" w:line="220" w:lineRule="auto"/>
              <w:ind w:left="1235"/>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科目</w:t>
            </w:r>
            <w:r>
              <w:rPr>
                <w:rFonts w:ascii="宋体" w:hAnsi="宋体" w:eastAsia="宋体" w:cs="宋体"/>
                <w:spacing w:val="-1"/>
                <w:sz w:val="22"/>
                <w:szCs w:val="22"/>
                <w14:textOutline w14:w="4013" w14:cap="sq" w14:cmpd="sng">
                  <w14:solidFill>
                    <w14:srgbClr w14:val="000000"/>
                  </w14:solidFill>
                  <w14:prstDash w14:val="solid"/>
                  <w14:bevel/>
                </w14:textOutline>
              </w:rPr>
              <w:t>名称</w:t>
            </w:r>
          </w:p>
        </w:tc>
        <w:tc>
          <w:tcPr>
            <w:tcW w:w="1124" w:type="dxa"/>
            <w:vMerge w:val="continue"/>
            <w:tcBorders>
              <w:top w:val="nil"/>
              <w:bottom w:val="nil"/>
            </w:tcBorders>
            <w:vAlign w:val="top"/>
          </w:tcPr>
          <w:p>
            <w:pPr>
              <w:rPr>
                <w:rFonts w:ascii="Arial"/>
                <w:sz w:val="21"/>
              </w:rPr>
            </w:pPr>
          </w:p>
        </w:tc>
        <w:tc>
          <w:tcPr>
            <w:tcW w:w="1319" w:type="dxa"/>
            <w:vMerge w:val="continue"/>
            <w:tcBorders>
              <w:top w:val="nil"/>
              <w:bottom w:val="nil"/>
            </w:tcBorders>
            <w:vAlign w:val="top"/>
          </w:tcPr>
          <w:p>
            <w:pPr>
              <w:rPr>
                <w:rFonts w:ascii="Arial"/>
                <w:sz w:val="21"/>
              </w:rPr>
            </w:pPr>
          </w:p>
        </w:tc>
        <w:tc>
          <w:tcPr>
            <w:tcW w:w="1577" w:type="dxa"/>
            <w:vMerge w:val="continue"/>
            <w:tcBorders>
              <w:top w:val="nil"/>
              <w:bottom w:val="nil"/>
            </w:tcBorders>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07" w:hRule="atLeast"/>
        </w:trPr>
        <w:tc>
          <w:tcPr>
            <w:tcW w:w="422" w:type="dxa"/>
            <w:shd w:val="clear" w:color="auto" w:fill="EFF2F7"/>
            <w:vAlign w:val="top"/>
          </w:tcPr>
          <w:p>
            <w:pPr>
              <w:spacing w:before="152" w:line="221" w:lineRule="auto"/>
              <w:ind w:left="107"/>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类</w:t>
            </w:r>
          </w:p>
        </w:tc>
        <w:tc>
          <w:tcPr>
            <w:tcW w:w="300" w:type="dxa"/>
            <w:shd w:val="clear" w:color="auto" w:fill="EFF2F7"/>
            <w:vAlign w:val="top"/>
          </w:tcPr>
          <w:p>
            <w:pPr>
              <w:spacing w:before="153" w:line="222" w:lineRule="auto"/>
              <w:ind w:left="46"/>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款</w:t>
            </w:r>
          </w:p>
        </w:tc>
        <w:tc>
          <w:tcPr>
            <w:tcW w:w="255" w:type="dxa"/>
            <w:shd w:val="clear" w:color="auto" w:fill="EFF2F7"/>
            <w:vAlign w:val="top"/>
          </w:tcPr>
          <w:p>
            <w:pPr>
              <w:spacing w:before="152" w:line="222" w:lineRule="auto"/>
              <w:ind w:left="24"/>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项</w:t>
            </w:r>
          </w:p>
        </w:tc>
        <w:tc>
          <w:tcPr>
            <w:tcW w:w="3343" w:type="dxa"/>
            <w:vMerge w:val="continue"/>
            <w:tcBorders>
              <w:top w:val="nil"/>
            </w:tcBorders>
            <w:vAlign w:val="top"/>
          </w:tcPr>
          <w:p>
            <w:pPr>
              <w:rPr>
                <w:rFonts w:ascii="Arial"/>
                <w:sz w:val="21"/>
              </w:rPr>
            </w:pPr>
          </w:p>
        </w:tc>
        <w:tc>
          <w:tcPr>
            <w:tcW w:w="1124" w:type="dxa"/>
            <w:vMerge w:val="continue"/>
            <w:tcBorders>
              <w:top w:val="nil"/>
            </w:tcBorders>
            <w:vAlign w:val="top"/>
          </w:tcPr>
          <w:p>
            <w:pPr>
              <w:rPr>
                <w:rFonts w:ascii="Arial"/>
                <w:sz w:val="21"/>
              </w:rPr>
            </w:pPr>
          </w:p>
        </w:tc>
        <w:tc>
          <w:tcPr>
            <w:tcW w:w="1319" w:type="dxa"/>
            <w:vMerge w:val="continue"/>
            <w:tcBorders>
              <w:top w:val="nil"/>
            </w:tcBorders>
            <w:vAlign w:val="top"/>
          </w:tcPr>
          <w:p>
            <w:pPr>
              <w:rPr>
                <w:rFonts w:ascii="Arial"/>
                <w:sz w:val="21"/>
              </w:rPr>
            </w:pPr>
          </w:p>
        </w:tc>
        <w:tc>
          <w:tcPr>
            <w:tcW w:w="1577" w:type="dxa"/>
            <w:vMerge w:val="continue"/>
            <w:tcBorders>
              <w:top w:val="nil"/>
            </w:tcBorders>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376" w:hRule="atLeast"/>
        </w:trPr>
        <w:tc>
          <w:tcPr>
            <w:tcW w:w="422" w:type="dxa"/>
            <w:vAlign w:val="top"/>
          </w:tcPr>
          <w:p>
            <w:pPr>
              <w:rPr>
                <w:rFonts w:ascii="Arial"/>
                <w:sz w:val="21"/>
              </w:rPr>
            </w:pPr>
          </w:p>
        </w:tc>
        <w:tc>
          <w:tcPr>
            <w:tcW w:w="300" w:type="dxa"/>
            <w:vAlign w:val="top"/>
          </w:tcPr>
          <w:p>
            <w:pPr>
              <w:rPr>
                <w:rFonts w:ascii="Arial"/>
                <w:sz w:val="21"/>
              </w:rPr>
            </w:pPr>
          </w:p>
        </w:tc>
        <w:tc>
          <w:tcPr>
            <w:tcW w:w="255" w:type="dxa"/>
            <w:vAlign w:val="top"/>
          </w:tcPr>
          <w:p>
            <w:pPr>
              <w:rPr>
                <w:rFonts w:ascii="Arial"/>
                <w:sz w:val="21"/>
              </w:rPr>
            </w:pPr>
          </w:p>
        </w:tc>
        <w:tc>
          <w:tcPr>
            <w:tcW w:w="3343" w:type="dxa"/>
            <w:vAlign w:val="top"/>
          </w:tcPr>
          <w:p>
            <w:pPr>
              <w:spacing w:before="87" w:line="222" w:lineRule="auto"/>
              <w:ind w:left="1236"/>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合</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计</w:t>
            </w:r>
          </w:p>
        </w:tc>
        <w:tc>
          <w:tcPr>
            <w:tcW w:w="112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b/>
                <w:i w:val="0"/>
                <w:color w:val="000000"/>
                <w:spacing w:val="0"/>
                <w:w w:val="100"/>
                <w:position w:val="0"/>
                <w:sz w:val="22"/>
                <w:szCs w:val="22"/>
                <w:u w:val="none"/>
                <w:shd w:val="clear" w:color="auto" w:fill="auto"/>
                <w:lang w:val="en-US" w:eastAsia="en-US" w:bidi="en-US"/>
              </w:rPr>
            </w:pPr>
            <w:r>
              <w:rPr>
                <w:rFonts w:hint="eastAsia" w:ascii="宋体" w:hAnsi="宋体" w:eastAsia="宋体" w:cs="宋体"/>
                <w:b/>
                <w:i w:val="0"/>
                <w:color w:val="000000"/>
                <w:spacing w:val="0"/>
                <w:w w:val="100"/>
                <w:kern w:val="0"/>
                <w:position w:val="0"/>
                <w:sz w:val="22"/>
                <w:szCs w:val="22"/>
                <w:u w:val="none"/>
                <w:shd w:val="clear" w:color="auto" w:fill="auto"/>
                <w:lang w:val="en-US" w:eastAsia="zh-CN" w:bidi="ar"/>
              </w:rPr>
              <w:t>3,507.69</w:t>
            </w:r>
          </w:p>
        </w:tc>
        <w:tc>
          <w:tcPr>
            <w:tcW w:w="131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b/>
                <w:i w:val="0"/>
                <w:color w:val="000000"/>
                <w:spacing w:val="0"/>
                <w:w w:val="100"/>
                <w:position w:val="0"/>
                <w:sz w:val="22"/>
                <w:szCs w:val="22"/>
                <w:u w:val="none"/>
                <w:shd w:val="clear" w:color="auto" w:fill="auto"/>
                <w:lang w:val="en-US" w:eastAsia="en-US" w:bidi="en-US"/>
              </w:rPr>
            </w:pPr>
            <w:r>
              <w:rPr>
                <w:rFonts w:hint="eastAsia" w:ascii="宋体" w:hAnsi="宋体" w:eastAsia="宋体" w:cs="宋体"/>
                <w:b/>
                <w:i w:val="0"/>
                <w:color w:val="000000"/>
                <w:spacing w:val="0"/>
                <w:w w:val="100"/>
                <w:kern w:val="0"/>
                <w:position w:val="0"/>
                <w:sz w:val="22"/>
                <w:szCs w:val="22"/>
                <w:u w:val="none"/>
                <w:shd w:val="clear" w:color="auto" w:fill="auto"/>
                <w:lang w:val="en-US" w:eastAsia="zh-CN" w:bidi="ar"/>
              </w:rPr>
              <w:t>2,377.56</w:t>
            </w:r>
          </w:p>
        </w:tc>
        <w:tc>
          <w:tcPr>
            <w:tcW w:w="157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b/>
                <w:i w:val="0"/>
                <w:color w:val="000000"/>
                <w:spacing w:val="0"/>
                <w:w w:val="100"/>
                <w:position w:val="0"/>
                <w:sz w:val="22"/>
                <w:szCs w:val="22"/>
                <w:u w:val="none"/>
                <w:shd w:val="clear" w:color="auto" w:fill="auto"/>
                <w:lang w:val="en-US" w:eastAsia="en-US" w:bidi="en-US"/>
              </w:rPr>
            </w:pPr>
            <w:r>
              <w:rPr>
                <w:rFonts w:hint="eastAsia" w:ascii="宋体" w:hAnsi="宋体" w:eastAsia="宋体" w:cs="宋体"/>
                <w:b/>
                <w:i w:val="0"/>
                <w:color w:val="000000"/>
                <w:spacing w:val="0"/>
                <w:w w:val="100"/>
                <w:kern w:val="0"/>
                <w:position w:val="0"/>
                <w:sz w:val="22"/>
                <w:szCs w:val="22"/>
                <w:u w:val="none"/>
                <w:shd w:val="clear" w:color="auto" w:fill="auto"/>
                <w:lang w:val="en-US" w:eastAsia="zh-CN" w:bidi="ar"/>
              </w:rPr>
              <w:t>1,130.13</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06" w:hRule="atLeast"/>
        </w:trPr>
        <w:tc>
          <w:tcPr>
            <w:tcW w:w="422" w:type="dxa"/>
            <w:vAlign w:val="top"/>
          </w:tcPr>
          <w:p>
            <w:pPr>
              <w:rPr>
                <w:rFonts w:ascii="Arial"/>
                <w:sz w:val="21"/>
              </w:rPr>
            </w:pPr>
          </w:p>
        </w:tc>
        <w:tc>
          <w:tcPr>
            <w:tcW w:w="300" w:type="dxa"/>
            <w:vAlign w:val="top"/>
          </w:tcPr>
          <w:p>
            <w:pPr>
              <w:rPr>
                <w:rFonts w:ascii="Arial"/>
                <w:sz w:val="21"/>
              </w:rPr>
            </w:pPr>
          </w:p>
        </w:tc>
        <w:tc>
          <w:tcPr>
            <w:tcW w:w="255" w:type="dxa"/>
            <w:vAlign w:val="top"/>
          </w:tcPr>
          <w:p>
            <w:pPr>
              <w:rPr>
                <w:rFonts w:ascii="Arial"/>
                <w:sz w:val="21"/>
              </w:rPr>
            </w:pPr>
          </w:p>
        </w:tc>
        <w:tc>
          <w:tcPr>
            <w:tcW w:w="3343" w:type="dxa"/>
            <w:vAlign w:val="top"/>
          </w:tcPr>
          <w:p>
            <w:pPr>
              <w:spacing w:before="102" w:line="221" w:lineRule="auto"/>
              <w:ind w:left="21"/>
              <w:rPr>
                <w:rFonts w:ascii="宋体" w:hAnsi="宋体" w:eastAsia="宋体" w:cs="宋体"/>
                <w:sz w:val="22"/>
                <w:szCs w:val="22"/>
              </w:rPr>
            </w:pPr>
          </w:p>
        </w:tc>
        <w:tc>
          <w:tcPr>
            <w:tcW w:w="112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3,507.69</w:t>
            </w:r>
          </w:p>
        </w:tc>
        <w:tc>
          <w:tcPr>
            <w:tcW w:w="131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2,377.56</w:t>
            </w:r>
          </w:p>
        </w:tc>
        <w:tc>
          <w:tcPr>
            <w:tcW w:w="157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1,130.13</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1" w:hRule="atLeast"/>
        </w:trPr>
        <w:tc>
          <w:tcPr>
            <w:tcW w:w="422" w:type="dxa"/>
            <w:vAlign w:val="top"/>
          </w:tcPr>
          <w:p>
            <w:pPr>
              <w:rPr>
                <w:rFonts w:ascii="Arial"/>
                <w:sz w:val="21"/>
              </w:rPr>
            </w:pPr>
          </w:p>
        </w:tc>
        <w:tc>
          <w:tcPr>
            <w:tcW w:w="300" w:type="dxa"/>
            <w:vAlign w:val="top"/>
          </w:tcPr>
          <w:p>
            <w:pPr>
              <w:rPr>
                <w:rFonts w:ascii="Arial"/>
                <w:sz w:val="21"/>
              </w:rPr>
            </w:pPr>
          </w:p>
        </w:tc>
        <w:tc>
          <w:tcPr>
            <w:tcW w:w="255" w:type="dxa"/>
            <w:vAlign w:val="top"/>
          </w:tcPr>
          <w:p>
            <w:pPr>
              <w:rPr>
                <w:rFonts w:ascii="Arial"/>
                <w:sz w:val="21"/>
              </w:rPr>
            </w:pPr>
          </w:p>
        </w:tc>
        <w:tc>
          <w:tcPr>
            <w:tcW w:w="334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夹江县交通运输局</w:t>
            </w:r>
          </w:p>
        </w:tc>
        <w:tc>
          <w:tcPr>
            <w:tcW w:w="112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3,507.69</w:t>
            </w:r>
          </w:p>
        </w:tc>
        <w:tc>
          <w:tcPr>
            <w:tcW w:w="131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2,377.56</w:t>
            </w:r>
          </w:p>
        </w:tc>
        <w:tc>
          <w:tcPr>
            <w:tcW w:w="157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1,130.13</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36" w:hRule="atLeast"/>
        </w:trPr>
        <w:tc>
          <w:tcPr>
            <w:tcW w:w="4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205</w:t>
            </w:r>
          </w:p>
        </w:tc>
        <w:tc>
          <w:tcPr>
            <w:tcW w:w="300"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w:t>
            </w:r>
          </w:p>
        </w:tc>
        <w:tc>
          <w:tcPr>
            <w:tcW w:w="255" w:type="dxa"/>
            <w:vAlign w:val="top"/>
          </w:tcPr>
          <w:p>
            <w:pPr>
              <w:spacing w:before="150" w:line="185" w:lineRule="auto"/>
              <w:ind w:left="19"/>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03</w:t>
            </w:r>
          </w:p>
        </w:tc>
        <w:tc>
          <w:tcPr>
            <w:tcW w:w="334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培训支出</w:t>
            </w:r>
          </w:p>
        </w:tc>
        <w:tc>
          <w:tcPr>
            <w:tcW w:w="112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23.05</w:t>
            </w:r>
          </w:p>
        </w:tc>
        <w:tc>
          <w:tcPr>
            <w:tcW w:w="131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23.05</w:t>
            </w:r>
          </w:p>
        </w:tc>
        <w:tc>
          <w:tcPr>
            <w:tcW w:w="1577" w:type="dxa"/>
            <w:vAlign w:val="top"/>
          </w:tcPr>
          <w:p>
            <w:pPr>
              <w:spacing w:before="150" w:line="185" w:lineRule="auto"/>
              <w:ind w:left="905"/>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376" w:hRule="atLeast"/>
        </w:trPr>
        <w:tc>
          <w:tcPr>
            <w:tcW w:w="4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208</w:t>
            </w:r>
          </w:p>
        </w:tc>
        <w:tc>
          <w:tcPr>
            <w:tcW w:w="300"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255" w:type="dxa"/>
            <w:vAlign w:val="top"/>
          </w:tcPr>
          <w:p>
            <w:pPr>
              <w:rPr>
                <w:rFonts w:hint="default" w:ascii="Arial" w:eastAsia="宋体"/>
                <w:sz w:val="21"/>
                <w:lang w:val="en-US" w:eastAsia="zh-CN"/>
              </w:rPr>
            </w:pPr>
            <w:r>
              <w:rPr>
                <w:rFonts w:hint="eastAsia" w:ascii="Arial" w:eastAsia="宋体"/>
                <w:sz w:val="21"/>
                <w:lang w:val="en-US" w:eastAsia="zh-CN"/>
              </w:rPr>
              <w:t>01</w:t>
            </w:r>
          </w:p>
        </w:tc>
        <w:tc>
          <w:tcPr>
            <w:tcW w:w="334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行政单位离退休</w:t>
            </w:r>
          </w:p>
        </w:tc>
        <w:tc>
          <w:tcPr>
            <w:tcW w:w="112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23.45</w:t>
            </w:r>
          </w:p>
        </w:tc>
        <w:tc>
          <w:tcPr>
            <w:tcW w:w="131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23.45</w:t>
            </w:r>
          </w:p>
        </w:tc>
        <w:tc>
          <w:tcPr>
            <w:tcW w:w="1577" w:type="dxa"/>
            <w:vAlign w:val="top"/>
          </w:tcPr>
          <w:p>
            <w:pPr>
              <w:spacing w:before="121" w:line="186" w:lineRule="auto"/>
              <w:ind w:left="923"/>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36" w:hRule="atLeast"/>
        </w:trPr>
        <w:tc>
          <w:tcPr>
            <w:tcW w:w="4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208</w:t>
            </w:r>
          </w:p>
        </w:tc>
        <w:tc>
          <w:tcPr>
            <w:tcW w:w="300"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2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334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机关事业单位基本养老保险缴费支出</w:t>
            </w:r>
          </w:p>
        </w:tc>
        <w:tc>
          <w:tcPr>
            <w:tcW w:w="112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135.03</w:t>
            </w:r>
          </w:p>
        </w:tc>
        <w:tc>
          <w:tcPr>
            <w:tcW w:w="131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135.03</w:t>
            </w:r>
          </w:p>
        </w:tc>
        <w:tc>
          <w:tcPr>
            <w:tcW w:w="1577"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36" w:hRule="atLeast"/>
        </w:trPr>
        <w:tc>
          <w:tcPr>
            <w:tcW w:w="4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208</w:t>
            </w:r>
          </w:p>
        </w:tc>
        <w:tc>
          <w:tcPr>
            <w:tcW w:w="300"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w:t>
            </w:r>
          </w:p>
        </w:tc>
        <w:tc>
          <w:tcPr>
            <w:tcW w:w="255" w:type="dxa"/>
            <w:vAlign w:val="top"/>
          </w:tcPr>
          <w:p>
            <w:pPr>
              <w:spacing w:before="152" w:line="185" w:lineRule="auto"/>
              <w:ind w:left="2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06</w:t>
            </w:r>
          </w:p>
        </w:tc>
        <w:tc>
          <w:tcPr>
            <w:tcW w:w="334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机关事业单位职业年金缴费支出</w:t>
            </w:r>
          </w:p>
        </w:tc>
        <w:tc>
          <w:tcPr>
            <w:tcW w:w="112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9.20</w:t>
            </w:r>
          </w:p>
        </w:tc>
        <w:tc>
          <w:tcPr>
            <w:tcW w:w="131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9.20</w:t>
            </w:r>
          </w:p>
        </w:tc>
        <w:tc>
          <w:tcPr>
            <w:tcW w:w="1577" w:type="dxa"/>
            <w:vAlign w:val="top"/>
          </w:tcPr>
          <w:p>
            <w:pPr>
              <w:spacing w:before="152" w:line="187" w:lineRule="auto"/>
              <w:ind w:right="11"/>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76" w:hRule="atLeast"/>
        </w:trPr>
        <w:tc>
          <w:tcPr>
            <w:tcW w:w="4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210</w:t>
            </w:r>
          </w:p>
        </w:tc>
        <w:tc>
          <w:tcPr>
            <w:tcW w:w="300"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255" w:type="dxa"/>
            <w:vAlign w:val="top"/>
          </w:tcPr>
          <w:p>
            <w:pPr>
              <w:spacing w:before="172" w:line="185" w:lineRule="auto"/>
              <w:ind w:left="2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01</w:t>
            </w:r>
          </w:p>
        </w:tc>
        <w:tc>
          <w:tcPr>
            <w:tcW w:w="334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行政单位医疗</w:t>
            </w:r>
          </w:p>
        </w:tc>
        <w:tc>
          <w:tcPr>
            <w:tcW w:w="112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18.47</w:t>
            </w:r>
          </w:p>
        </w:tc>
        <w:tc>
          <w:tcPr>
            <w:tcW w:w="131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18.47</w:t>
            </w:r>
          </w:p>
        </w:tc>
        <w:tc>
          <w:tcPr>
            <w:tcW w:w="1577"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381" w:hRule="atLeast"/>
        </w:trPr>
        <w:tc>
          <w:tcPr>
            <w:tcW w:w="4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210</w:t>
            </w:r>
          </w:p>
        </w:tc>
        <w:tc>
          <w:tcPr>
            <w:tcW w:w="300"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255" w:type="dxa"/>
            <w:vAlign w:val="top"/>
          </w:tcPr>
          <w:p>
            <w:pPr>
              <w:spacing w:before="123" w:line="185" w:lineRule="auto"/>
              <w:ind w:left="19"/>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02</w:t>
            </w:r>
          </w:p>
        </w:tc>
        <w:tc>
          <w:tcPr>
            <w:tcW w:w="334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事业单位医疗</w:t>
            </w:r>
          </w:p>
        </w:tc>
        <w:tc>
          <w:tcPr>
            <w:tcW w:w="112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35.61</w:t>
            </w:r>
          </w:p>
        </w:tc>
        <w:tc>
          <w:tcPr>
            <w:tcW w:w="131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35.61</w:t>
            </w:r>
          </w:p>
        </w:tc>
        <w:tc>
          <w:tcPr>
            <w:tcW w:w="1577" w:type="dxa"/>
            <w:vAlign w:val="top"/>
          </w:tcPr>
          <w:p>
            <w:pPr>
              <w:spacing w:before="122" w:line="186" w:lineRule="auto"/>
              <w:ind w:left="923"/>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06" w:hRule="atLeast"/>
        </w:trPr>
        <w:tc>
          <w:tcPr>
            <w:tcW w:w="4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210</w:t>
            </w:r>
          </w:p>
        </w:tc>
        <w:tc>
          <w:tcPr>
            <w:tcW w:w="300"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255" w:type="dxa"/>
            <w:vAlign w:val="top"/>
          </w:tcPr>
          <w:p>
            <w:pPr>
              <w:rPr>
                <w:rFonts w:hint="default" w:ascii="Arial" w:eastAsia="宋体"/>
                <w:sz w:val="21"/>
                <w:lang w:val="en-US" w:eastAsia="zh-CN"/>
              </w:rPr>
            </w:pPr>
            <w:r>
              <w:rPr>
                <w:rFonts w:hint="eastAsia" w:ascii="Arial" w:eastAsia="宋体"/>
                <w:sz w:val="21"/>
                <w:lang w:val="en-US" w:eastAsia="zh-CN"/>
              </w:rPr>
              <w:t>03</w:t>
            </w:r>
          </w:p>
        </w:tc>
        <w:tc>
          <w:tcPr>
            <w:tcW w:w="334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公务员医疗补助</w:t>
            </w:r>
          </w:p>
        </w:tc>
        <w:tc>
          <w:tcPr>
            <w:tcW w:w="112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17.25</w:t>
            </w:r>
          </w:p>
        </w:tc>
        <w:tc>
          <w:tcPr>
            <w:tcW w:w="131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17.25</w:t>
            </w:r>
          </w:p>
        </w:tc>
        <w:tc>
          <w:tcPr>
            <w:tcW w:w="1577"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06" w:hRule="atLeast"/>
        </w:trPr>
        <w:tc>
          <w:tcPr>
            <w:tcW w:w="4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300"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2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334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行政运行</w:t>
            </w:r>
          </w:p>
        </w:tc>
        <w:tc>
          <w:tcPr>
            <w:tcW w:w="112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169.27</w:t>
            </w:r>
          </w:p>
        </w:tc>
        <w:tc>
          <w:tcPr>
            <w:tcW w:w="131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169.27</w:t>
            </w:r>
          </w:p>
        </w:tc>
        <w:tc>
          <w:tcPr>
            <w:tcW w:w="1577"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26" w:hRule="atLeast"/>
        </w:trPr>
        <w:tc>
          <w:tcPr>
            <w:tcW w:w="4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300"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255" w:type="dxa"/>
            <w:vAlign w:val="top"/>
          </w:tcPr>
          <w:p>
            <w:pPr>
              <w:spacing w:before="146" w:line="185" w:lineRule="auto"/>
              <w:ind w:left="2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02</w:t>
            </w:r>
          </w:p>
        </w:tc>
        <w:tc>
          <w:tcPr>
            <w:tcW w:w="334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一般行政管理事务</w:t>
            </w:r>
          </w:p>
        </w:tc>
        <w:tc>
          <w:tcPr>
            <w:tcW w:w="112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68.68</w:t>
            </w:r>
          </w:p>
        </w:tc>
        <w:tc>
          <w:tcPr>
            <w:tcW w:w="131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67.96</w:t>
            </w:r>
          </w:p>
        </w:tc>
        <w:tc>
          <w:tcPr>
            <w:tcW w:w="157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0.72</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06" w:hRule="atLeast"/>
        </w:trPr>
        <w:tc>
          <w:tcPr>
            <w:tcW w:w="4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300"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255" w:type="dxa"/>
            <w:vAlign w:val="top"/>
          </w:tcPr>
          <w:p>
            <w:pPr>
              <w:rPr>
                <w:rFonts w:hint="default" w:ascii="Arial" w:eastAsia="宋体"/>
                <w:sz w:val="21"/>
                <w:lang w:val="en-US" w:eastAsia="zh-CN"/>
              </w:rPr>
            </w:pPr>
            <w:r>
              <w:rPr>
                <w:rFonts w:hint="eastAsia" w:ascii="Arial" w:eastAsia="宋体"/>
                <w:sz w:val="21"/>
                <w:lang w:val="en-US" w:eastAsia="zh-CN"/>
              </w:rPr>
              <w:t>04</w:t>
            </w:r>
          </w:p>
        </w:tc>
        <w:tc>
          <w:tcPr>
            <w:tcW w:w="334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公路建设</w:t>
            </w:r>
          </w:p>
        </w:tc>
        <w:tc>
          <w:tcPr>
            <w:tcW w:w="112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268.00</w:t>
            </w:r>
          </w:p>
        </w:tc>
        <w:tc>
          <w:tcPr>
            <w:tcW w:w="131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100.00</w:t>
            </w:r>
          </w:p>
        </w:tc>
        <w:tc>
          <w:tcPr>
            <w:tcW w:w="157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168.00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76" w:hRule="atLeast"/>
        </w:trPr>
        <w:tc>
          <w:tcPr>
            <w:tcW w:w="4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300"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255" w:type="dxa"/>
            <w:vAlign w:val="top"/>
          </w:tcPr>
          <w:p>
            <w:pPr>
              <w:rPr>
                <w:rFonts w:hint="default" w:ascii="Arial" w:eastAsia="宋体"/>
                <w:sz w:val="21"/>
                <w:lang w:val="en-US" w:eastAsia="zh-CN"/>
              </w:rPr>
            </w:pPr>
            <w:r>
              <w:rPr>
                <w:rFonts w:hint="eastAsia" w:ascii="Arial" w:eastAsia="宋体"/>
                <w:sz w:val="21"/>
                <w:lang w:val="en-US" w:eastAsia="zh-CN"/>
              </w:rPr>
              <w:t>06</w:t>
            </w:r>
          </w:p>
        </w:tc>
        <w:tc>
          <w:tcPr>
            <w:tcW w:w="334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公路养护</w:t>
            </w:r>
          </w:p>
        </w:tc>
        <w:tc>
          <w:tcPr>
            <w:tcW w:w="112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1,087.10</w:t>
            </w:r>
          </w:p>
        </w:tc>
        <w:tc>
          <w:tcPr>
            <w:tcW w:w="131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1,087.10</w:t>
            </w:r>
          </w:p>
        </w:tc>
        <w:tc>
          <w:tcPr>
            <w:tcW w:w="157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8.21</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76" w:hRule="atLeast"/>
        </w:trPr>
        <w:tc>
          <w:tcPr>
            <w:tcW w:w="4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300"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255" w:type="dxa"/>
            <w:vAlign w:val="top"/>
          </w:tcPr>
          <w:p>
            <w:pPr>
              <w:spacing w:before="171" w:line="186" w:lineRule="auto"/>
              <w:ind w:left="2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12</w:t>
            </w:r>
          </w:p>
        </w:tc>
        <w:tc>
          <w:tcPr>
            <w:tcW w:w="334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公路运输管理</w:t>
            </w:r>
          </w:p>
        </w:tc>
        <w:tc>
          <w:tcPr>
            <w:tcW w:w="112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498.37</w:t>
            </w:r>
          </w:p>
        </w:tc>
        <w:tc>
          <w:tcPr>
            <w:tcW w:w="131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498.37</w:t>
            </w:r>
          </w:p>
        </w:tc>
        <w:tc>
          <w:tcPr>
            <w:tcW w:w="1577"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43" w:hRule="atLeast"/>
        </w:trPr>
        <w:tc>
          <w:tcPr>
            <w:tcW w:w="4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300"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255" w:type="dxa"/>
            <w:vAlign w:val="top"/>
          </w:tcPr>
          <w:p>
            <w:pPr>
              <w:spacing w:before="255" w:line="185" w:lineRule="auto"/>
              <w:ind w:left="2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31</w:t>
            </w:r>
          </w:p>
        </w:tc>
        <w:tc>
          <w:tcPr>
            <w:tcW w:w="334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海事管理</w:t>
            </w:r>
          </w:p>
        </w:tc>
        <w:tc>
          <w:tcPr>
            <w:tcW w:w="112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45.93</w:t>
            </w:r>
          </w:p>
        </w:tc>
        <w:tc>
          <w:tcPr>
            <w:tcW w:w="131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45.93</w:t>
            </w:r>
          </w:p>
        </w:tc>
        <w:tc>
          <w:tcPr>
            <w:tcW w:w="1577"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391" w:hRule="atLeast"/>
        </w:trPr>
        <w:tc>
          <w:tcPr>
            <w:tcW w:w="4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300" w:type="dxa"/>
            <w:vAlign w:val="top"/>
          </w:tcPr>
          <w:p>
            <w:pPr>
              <w:rPr>
                <w:rFonts w:hint="default" w:ascii="Arial" w:eastAsia="宋体"/>
                <w:sz w:val="21"/>
                <w:lang w:val="en-US" w:eastAsia="zh-CN"/>
              </w:rPr>
            </w:pPr>
            <w:r>
              <w:rPr>
                <w:rFonts w:hint="eastAsia" w:ascii="Arial" w:eastAsia="宋体"/>
                <w:sz w:val="21"/>
                <w:lang w:val="en-US" w:eastAsia="zh-CN"/>
              </w:rPr>
              <w:t>06</w:t>
            </w:r>
          </w:p>
        </w:tc>
        <w:tc>
          <w:tcPr>
            <w:tcW w:w="255" w:type="dxa"/>
            <w:vAlign w:val="top"/>
          </w:tcPr>
          <w:p>
            <w:pPr>
              <w:rPr>
                <w:rFonts w:hint="default" w:ascii="Arial" w:eastAsia="宋体"/>
                <w:sz w:val="21"/>
                <w:lang w:val="en-US" w:eastAsia="zh-CN"/>
              </w:rPr>
            </w:pPr>
            <w:r>
              <w:rPr>
                <w:rFonts w:hint="eastAsia" w:ascii="Arial" w:eastAsia="宋体"/>
                <w:sz w:val="21"/>
                <w:lang w:val="en-US" w:eastAsia="zh-CN"/>
              </w:rPr>
              <w:t>01</w:t>
            </w:r>
          </w:p>
        </w:tc>
        <w:tc>
          <w:tcPr>
            <w:tcW w:w="334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车辆购置税用于公路等基础设施建设支出</w:t>
            </w:r>
          </w:p>
        </w:tc>
        <w:tc>
          <w:tcPr>
            <w:tcW w:w="112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30.00</w:t>
            </w:r>
          </w:p>
        </w:tc>
        <w:tc>
          <w:tcPr>
            <w:tcW w:w="1319" w:type="dxa"/>
            <w:vAlign w:val="top"/>
          </w:tcPr>
          <w:p>
            <w:pPr>
              <w:spacing w:before="130" w:line="185" w:lineRule="auto"/>
              <w:ind w:left="650"/>
              <w:rPr>
                <w:rFonts w:ascii="宋体" w:hAnsi="宋体" w:eastAsia="宋体" w:cs="宋体"/>
                <w:sz w:val="22"/>
                <w:szCs w:val="22"/>
              </w:rPr>
            </w:pPr>
          </w:p>
        </w:tc>
        <w:tc>
          <w:tcPr>
            <w:tcW w:w="157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30.00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391" w:hRule="atLeast"/>
        </w:trPr>
        <w:tc>
          <w:tcPr>
            <w:tcW w:w="4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300" w:type="dxa"/>
            <w:vAlign w:val="top"/>
          </w:tcPr>
          <w:p>
            <w:pPr>
              <w:rPr>
                <w:rFonts w:hint="default" w:ascii="Arial" w:eastAsia="宋体"/>
                <w:sz w:val="21"/>
                <w:lang w:val="en-US" w:eastAsia="zh-CN"/>
              </w:rPr>
            </w:pPr>
            <w:r>
              <w:rPr>
                <w:rFonts w:hint="eastAsia" w:ascii="Arial" w:eastAsia="宋体"/>
                <w:sz w:val="21"/>
                <w:lang w:val="en-US" w:eastAsia="zh-CN"/>
              </w:rPr>
              <w:t>06</w:t>
            </w:r>
          </w:p>
        </w:tc>
        <w:tc>
          <w:tcPr>
            <w:tcW w:w="255" w:type="dxa"/>
            <w:vAlign w:val="top"/>
          </w:tcPr>
          <w:p>
            <w:pPr>
              <w:rPr>
                <w:rFonts w:hint="default" w:ascii="Arial" w:eastAsia="宋体"/>
                <w:sz w:val="21"/>
                <w:lang w:val="en-US" w:eastAsia="zh-CN"/>
              </w:rPr>
            </w:pPr>
            <w:r>
              <w:rPr>
                <w:rFonts w:hint="eastAsia" w:ascii="Arial" w:eastAsia="宋体"/>
                <w:sz w:val="21"/>
                <w:lang w:val="en-US" w:eastAsia="zh-CN"/>
              </w:rPr>
              <w:t>02</w:t>
            </w:r>
          </w:p>
        </w:tc>
        <w:tc>
          <w:tcPr>
            <w:tcW w:w="334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车辆购置税用于农村公路建设支出</w:t>
            </w:r>
          </w:p>
        </w:tc>
        <w:tc>
          <w:tcPr>
            <w:tcW w:w="112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563.50</w:t>
            </w:r>
          </w:p>
        </w:tc>
        <w:tc>
          <w:tcPr>
            <w:tcW w:w="1319" w:type="dxa"/>
            <w:vAlign w:val="top"/>
          </w:tcPr>
          <w:p>
            <w:pPr>
              <w:spacing w:before="130" w:line="185" w:lineRule="auto"/>
              <w:ind w:left="650"/>
              <w:rPr>
                <w:rFonts w:ascii="宋体" w:hAnsi="宋体" w:eastAsia="宋体" w:cs="宋体"/>
                <w:sz w:val="22"/>
                <w:szCs w:val="22"/>
              </w:rPr>
            </w:pPr>
          </w:p>
        </w:tc>
        <w:tc>
          <w:tcPr>
            <w:tcW w:w="157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563.50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21" w:hRule="atLeast"/>
        </w:trPr>
        <w:tc>
          <w:tcPr>
            <w:tcW w:w="4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300" w:type="dxa"/>
            <w:vAlign w:val="top"/>
          </w:tcPr>
          <w:p>
            <w:pPr>
              <w:spacing w:before="144" w:line="187" w:lineRule="auto"/>
              <w:ind w:left="35"/>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99</w:t>
            </w:r>
          </w:p>
        </w:tc>
        <w:tc>
          <w:tcPr>
            <w:tcW w:w="255" w:type="dxa"/>
            <w:vAlign w:val="top"/>
          </w:tcPr>
          <w:p>
            <w:pPr>
              <w:spacing w:before="144" w:line="186" w:lineRule="auto"/>
              <w:ind w:left="2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99</w:t>
            </w:r>
          </w:p>
        </w:tc>
        <w:tc>
          <w:tcPr>
            <w:tcW w:w="334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其他交通运输支出</w:t>
            </w:r>
          </w:p>
        </w:tc>
        <w:tc>
          <w:tcPr>
            <w:tcW w:w="112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299.70</w:t>
            </w:r>
          </w:p>
        </w:tc>
        <w:tc>
          <w:tcPr>
            <w:tcW w:w="1319" w:type="dxa"/>
            <w:vAlign w:val="top"/>
          </w:tcPr>
          <w:p>
            <w:pPr>
              <w:spacing w:before="144" w:line="186" w:lineRule="auto"/>
              <w:ind w:left="655"/>
              <w:rPr>
                <w:rFonts w:ascii="宋体" w:hAnsi="宋体" w:eastAsia="宋体" w:cs="宋体"/>
                <w:sz w:val="22"/>
                <w:szCs w:val="22"/>
              </w:rPr>
            </w:pPr>
          </w:p>
        </w:tc>
        <w:tc>
          <w:tcPr>
            <w:tcW w:w="157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299.70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76" w:hRule="atLeast"/>
        </w:trPr>
        <w:tc>
          <w:tcPr>
            <w:tcW w:w="4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221</w:t>
            </w:r>
          </w:p>
        </w:tc>
        <w:tc>
          <w:tcPr>
            <w:tcW w:w="300" w:type="dxa"/>
            <w:vAlign w:val="top"/>
          </w:tcPr>
          <w:p>
            <w:pPr>
              <w:spacing w:before="172" w:line="187" w:lineRule="auto"/>
              <w:ind w:left="35"/>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02</w:t>
            </w:r>
          </w:p>
        </w:tc>
        <w:tc>
          <w:tcPr>
            <w:tcW w:w="255" w:type="dxa"/>
            <w:vAlign w:val="top"/>
          </w:tcPr>
          <w:p>
            <w:pPr>
              <w:spacing w:before="172" w:line="185" w:lineRule="auto"/>
              <w:ind w:left="2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01</w:t>
            </w:r>
          </w:p>
        </w:tc>
        <w:tc>
          <w:tcPr>
            <w:tcW w:w="334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住房公积金</w:t>
            </w:r>
          </w:p>
        </w:tc>
        <w:tc>
          <w:tcPr>
            <w:tcW w:w="112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155.09</w:t>
            </w:r>
          </w:p>
        </w:tc>
        <w:tc>
          <w:tcPr>
            <w:tcW w:w="131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155.09</w:t>
            </w:r>
          </w:p>
        </w:tc>
        <w:tc>
          <w:tcPr>
            <w:tcW w:w="1577"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06" w:hRule="atLeast"/>
        </w:trPr>
        <w:tc>
          <w:tcPr>
            <w:tcW w:w="422" w:type="dxa"/>
            <w:vAlign w:val="top"/>
          </w:tcPr>
          <w:p>
            <w:pPr>
              <w:rPr>
                <w:rFonts w:hint="default" w:ascii="Arial" w:eastAsia="宋体"/>
                <w:sz w:val="21"/>
                <w:lang w:val="en-US" w:eastAsia="zh-CN"/>
              </w:rPr>
            </w:pPr>
            <w:r>
              <w:rPr>
                <w:rFonts w:hint="eastAsia" w:ascii="Arial" w:eastAsia="宋体"/>
                <w:sz w:val="21"/>
                <w:lang w:val="en-US" w:eastAsia="zh-CN"/>
              </w:rPr>
              <w:t>229</w:t>
            </w:r>
          </w:p>
        </w:tc>
        <w:tc>
          <w:tcPr>
            <w:tcW w:w="300" w:type="dxa"/>
            <w:vAlign w:val="top"/>
          </w:tcPr>
          <w:p>
            <w:pPr>
              <w:rPr>
                <w:rFonts w:hint="default" w:ascii="Arial" w:eastAsia="宋体"/>
                <w:sz w:val="21"/>
                <w:lang w:val="en-US" w:eastAsia="zh-CN"/>
              </w:rPr>
            </w:pPr>
            <w:r>
              <w:rPr>
                <w:rFonts w:hint="eastAsia" w:ascii="Arial" w:eastAsia="宋体"/>
                <w:sz w:val="21"/>
                <w:lang w:val="en-US" w:eastAsia="zh-CN"/>
              </w:rPr>
              <w:t>99</w:t>
            </w:r>
          </w:p>
        </w:tc>
        <w:tc>
          <w:tcPr>
            <w:tcW w:w="255" w:type="dxa"/>
            <w:vAlign w:val="top"/>
          </w:tcPr>
          <w:p>
            <w:pPr>
              <w:rPr>
                <w:rFonts w:hint="default" w:ascii="Arial" w:eastAsia="宋体"/>
                <w:sz w:val="21"/>
                <w:lang w:val="en-US" w:eastAsia="zh-CN"/>
              </w:rPr>
            </w:pPr>
            <w:r>
              <w:rPr>
                <w:rFonts w:hint="eastAsia" w:ascii="Arial" w:eastAsia="宋体"/>
                <w:sz w:val="21"/>
                <w:lang w:val="en-US" w:eastAsia="zh-CN"/>
              </w:rPr>
              <w:t>99</w:t>
            </w:r>
          </w:p>
        </w:tc>
        <w:tc>
          <w:tcPr>
            <w:tcW w:w="334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其他支出</w:t>
            </w:r>
          </w:p>
        </w:tc>
        <w:tc>
          <w:tcPr>
            <w:tcW w:w="1124"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60.00</w:t>
            </w:r>
          </w:p>
        </w:tc>
        <w:tc>
          <w:tcPr>
            <w:tcW w:w="1319" w:type="dxa"/>
            <w:vAlign w:val="top"/>
          </w:tcPr>
          <w:p>
            <w:pPr>
              <w:spacing w:before="137" w:line="186" w:lineRule="auto"/>
              <w:ind w:left="652"/>
              <w:rPr>
                <w:rFonts w:ascii="宋体" w:hAnsi="宋体" w:eastAsia="宋体" w:cs="宋体"/>
                <w:sz w:val="22"/>
                <w:szCs w:val="22"/>
              </w:rPr>
            </w:pPr>
          </w:p>
        </w:tc>
        <w:tc>
          <w:tcPr>
            <w:tcW w:w="1577"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60.00</w:t>
            </w:r>
          </w:p>
        </w:tc>
      </w:tr>
    </w:tbl>
    <w:p>
      <w:pPr>
        <w:rPr>
          <w:rFonts w:ascii="Arial"/>
          <w:sz w:val="21"/>
        </w:rPr>
      </w:pPr>
    </w:p>
    <w:p>
      <w:pPr>
        <w:sectPr>
          <w:footerReference r:id="rId21" w:type="default"/>
          <w:pgSz w:w="11906" w:h="16839"/>
          <w:pgMar w:top="1431" w:right="1780" w:bottom="856" w:left="1780" w:header="0" w:footer="575" w:gutter="0"/>
          <w:cols w:space="720" w:num="1"/>
        </w:sectPr>
      </w:pPr>
    </w:p>
    <w:p>
      <w:pPr>
        <w:spacing w:line="245" w:lineRule="auto"/>
        <w:rPr>
          <w:rFonts w:ascii="Arial"/>
          <w:sz w:val="21"/>
        </w:rPr>
      </w:pPr>
    </w:p>
    <w:p>
      <w:pPr>
        <w:spacing w:line="246" w:lineRule="auto"/>
        <w:rPr>
          <w:rFonts w:ascii="Arial"/>
          <w:sz w:val="21"/>
        </w:rPr>
      </w:pPr>
    </w:p>
    <w:p>
      <w:pPr>
        <w:spacing w:before="72" w:line="212" w:lineRule="auto"/>
        <w:ind w:right="14"/>
        <w:jc w:val="right"/>
        <w:rPr>
          <w:rFonts w:ascii="宋体" w:hAnsi="宋体" w:eastAsia="宋体" w:cs="宋体"/>
          <w:sz w:val="22"/>
          <w:szCs w:val="22"/>
        </w:rPr>
      </w:pPr>
      <w:r>
        <w:rPr>
          <w:rFonts w:ascii="宋体" w:hAnsi="宋体" w:eastAsia="宋体" w:cs="宋体"/>
          <w:spacing w:val="-4"/>
          <w:sz w:val="22"/>
          <w:szCs w:val="22"/>
        </w:rPr>
        <w:t>公开表 3-1</w:t>
      </w:r>
    </w:p>
    <w:p/>
    <w:tbl>
      <w:tblPr>
        <w:tblW w:w="9870" w:type="dxa"/>
        <w:tblInd w:w="0" w:type="dxa"/>
        <w:shd w:val="clear"/>
        <w:tblLayout w:type="autofit"/>
        <w:tblCellMar>
          <w:top w:w="0" w:type="dxa"/>
          <w:left w:w="0" w:type="dxa"/>
          <w:bottom w:w="0" w:type="dxa"/>
          <w:right w:w="0" w:type="dxa"/>
        </w:tblCellMar>
      </w:tblPr>
      <w:tblGrid>
        <w:gridCol w:w="866"/>
        <w:gridCol w:w="604"/>
        <w:gridCol w:w="914"/>
        <w:gridCol w:w="3330"/>
        <w:gridCol w:w="1350"/>
        <w:gridCol w:w="1290"/>
        <w:gridCol w:w="1570"/>
      </w:tblGrid>
      <w:tr>
        <w:tblPrEx>
          <w:shd w:val="clear"/>
          <w:tblCellMar>
            <w:top w:w="0" w:type="dxa"/>
            <w:left w:w="0" w:type="dxa"/>
            <w:bottom w:w="0" w:type="dxa"/>
            <w:right w:w="0" w:type="dxa"/>
          </w:tblCellMar>
        </w:tblPrEx>
        <w:trPr>
          <w:trHeight w:val="285" w:hRule="atLeast"/>
        </w:trPr>
        <w:tc>
          <w:tcPr>
            <w:tcW w:w="1470" w:type="dxa"/>
            <w:gridSpan w:val="2"/>
            <w:tcBorders>
              <w:top w:val="single" w:color="FFFFFF" w:sz="4" w:space="0"/>
              <w:left w:val="single" w:color="FFFFFF" w:sz="4" w:space="0"/>
              <w:bottom w:val="single" w:color="FFFFFF" w:sz="4" w:space="0"/>
              <w:right w:val="single" w:color="FFFFFF"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35" w:type="dxa"/>
            <w:tcBorders>
              <w:top w:val="single" w:color="FFFFFF" w:sz="4" w:space="0"/>
              <w:left w:val="single" w:color="FFFFFF" w:sz="4" w:space="0"/>
              <w:bottom w:val="single" w:color="FFFFFF" w:sz="4" w:space="0"/>
              <w:right w:val="single" w:color="FFFFFF"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495" w:type="dxa"/>
            <w:tcBorders>
              <w:top w:val="single" w:color="FFFFFF" w:sz="4" w:space="0"/>
              <w:left w:val="single" w:color="FFFFFF" w:sz="4" w:space="0"/>
              <w:bottom w:val="single" w:color="FFFFFF" w:sz="4" w:space="0"/>
              <w:right w:val="single" w:color="FFFFFF"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50" w:type="dxa"/>
            <w:tcBorders>
              <w:top w:val="single" w:color="FFFFFF" w:sz="4" w:space="0"/>
              <w:left w:val="single" w:color="FFFFFF" w:sz="4" w:space="0"/>
              <w:bottom w:val="single" w:color="FFFFFF" w:sz="4" w:space="0"/>
              <w:right w:val="single" w:color="FFFFFF" w:sz="4" w:space="0"/>
            </w:tcBorders>
            <w:shd w:val="clear"/>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90" w:type="dxa"/>
            <w:tcBorders>
              <w:top w:val="single" w:color="FFFFFF" w:sz="4" w:space="0"/>
              <w:left w:val="single" w:color="FFFFFF" w:sz="4" w:space="0"/>
              <w:bottom w:val="single" w:color="FFFFFF" w:sz="4" w:space="0"/>
              <w:right w:val="single" w:color="FFFFFF" w:sz="4" w:space="0"/>
            </w:tcBorders>
            <w:shd w:val="clear"/>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FFFFFF" w:sz="4" w:space="0"/>
              <w:left w:val="single" w:color="FFFFFF" w:sz="4" w:space="0"/>
              <w:bottom w:val="single" w:color="FFFFFF" w:sz="4" w:space="0"/>
              <w:right w:val="single" w:color="FFFFFF" w:sz="4" w:space="0"/>
            </w:tcBorders>
            <w:shd w:val="clear"/>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gridSpan w:val="7"/>
            <w:tcBorders>
              <w:top w:val="single" w:color="FFFFFF" w:sz="4" w:space="0"/>
              <w:left w:val="single" w:color="FFFFFF" w:sz="4" w:space="0"/>
              <w:bottom w:val="single" w:color="FFFFFF" w:sz="4" w:space="0"/>
              <w:right w:val="single" w:color="FFFFFF"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spacing w:val="0"/>
                <w:w w:val="100"/>
                <w:kern w:val="0"/>
                <w:position w:val="0"/>
                <w:sz w:val="32"/>
                <w:szCs w:val="32"/>
                <w:u w:val="none"/>
                <w:bdr w:val="none" w:color="auto" w:sz="0" w:space="0"/>
                <w:shd w:val="clear" w:color="auto" w:fill="auto"/>
                <w:lang w:val="en-US" w:eastAsia="zh-CN" w:bidi="ar"/>
              </w:rPr>
              <w:t>一般公共预算基本支出预算表</w:t>
            </w:r>
          </w:p>
        </w:tc>
      </w:tr>
      <w:tr>
        <w:tblPrEx>
          <w:tblCellMar>
            <w:top w:w="0" w:type="dxa"/>
            <w:left w:w="0" w:type="dxa"/>
            <w:bottom w:w="0" w:type="dxa"/>
            <w:right w:w="0" w:type="dxa"/>
          </w:tblCellMar>
        </w:tblPrEx>
        <w:trPr>
          <w:trHeight w:val="342" w:hRule="atLeast"/>
        </w:trPr>
        <w:tc>
          <w:tcPr>
            <w:tcW w:w="0" w:type="auto"/>
            <w:gridSpan w:val="4"/>
            <w:tcBorders>
              <w:top w:val="single" w:color="FFFFFF" w:sz="4" w:space="0"/>
              <w:left w:val="single" w:color="FFFFFF" w:sz="4" w:space="0"/>
              <w:bottom w:val="nil"/>
              <w:right w:val="single" w:color="FFFFFF"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部门：</w:t>
            </w:r>
          </w:p>
        </w:tc>
        <w:tc>
          <w:tcPr>
            <w:tcW w:w="0" w:type="auto"/>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金额单位：万元</w:t>
            </w:r>
          </w:p>
        </w:tc>
      </w:tr>
      <w:tr>
        <w:tblPrEx>
          <w:tblCellMar>
            <w:top w:w="0" w:type="dxa"/>
            <w:left w:w="0" w:type="dxa"/>
            <w:bottom w:w="0" w:type="dxa"/>
            <w:right w:w="0" w:type="dxa"/>
          </w:tblCellMar>
        </w:tblPrEx>
        <w:trPr>
          <w:trHeight w:val="428" w:hRule="atLeast"/>
        </w:trPr>
        <w:tc>
          <w:tcPr>
            <w:tcW w:w="0" w:type="auto"/>
            <w:gridSpan w:val="4"/>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pacing w:val="0"/>
                <w:w w:val="100"/>
                <w:kern w:val="0"/>
                <w:position w:val="0"/>
                <w:sz w:val="22"/>
                <w:szCs w:val="22"/>
                <w:u w:val="none"/>
                <w:bdr w:val="none" w:color="auto" w:sz="0" w:space="0"/>
                <w:shd w:val="clear" w:color="auto" w:fill="auto"/>
                <w:lang w:val="en-US" w:eastAsia="zh-CN" w:bidi="ar"/>
              </w:rPr>
              <w:t>项    目</w:t>
            </w:r>
          </w:p>
        </w:tc>
        <w:tc>
          <w:tcPr>
            <w:tcW w:w="0" w:type="auto"/>
            <w:gridSpan w:val="3"/>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pacing w:val="0"/>
                <w:w w:val="100"/>
                <w:kern w:val="0"/>
                <w:position w:val="0"/>
                <w:sz w:val="22"/>
                <w:szCs w:val="22"/>
                <w:u w:val="none"/>
                <w:bdr w:val="none" w:color="auto" w:sz="0" w:space="0"/>
                <w:shd w:val="clear" w:color="auto" w:fill="auto"/>
                <w:lang w:val="en-US" w:eastAsia="zh-CN" w:bidi="ar"/>
              </w:rPr>
              <w:t>基本支出</w:t>
            </w:r>
          </w:p>
        </w:tc>
      </w:tr>
      <w:tr>
        <w:tblPrEx>
          <w:tblCellMar>
            <w:top w:w="0" w:type="dxa"/>
            <w:left w:w="0" w:type="dxa"/>
            <w:bottom w:w="0" w:type="dxa"/>
            <w:right w:w="0" w:type="dxa"/>
          </w:tblCellMar>
        </w:tblPrEx>
        <w:trPr>
          <w:trHeight w:val="428" w:hRule="atLeast"/>
        </w:trPr>
        <w:tc>
          <w:tcPr>
            <w:tcW w:w="0" w:type="auto"/>
            <w:gridSpan w:val="2"/>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pacing w:val="0"/>
                <w:w w:val="100"/>
                <w:kern w:val="0"/>
                <w:position w:val="0"/>
                <w:sz w:val="22"/>
                <w:szCs w:val="22"/>
                <w:u w:val="none"/>
                <w:bdr w:val="none" w:color="auto" w:sz="0" w:space="0"/>
                <w:shd w:val="clear" w:color="auto" w:fill="auto"/>
                <w:lang w:val="en-US" w:eastAsia="zh-CN" w:bidi="ar"/>
              </w:rPr>
              <w:t>科目编码</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pacing w:val="0"/>
                <w:w w:val="100"/>
                <w:kern w:val="0"/>
                <w:position w:val="0"/>
                <w:sz w:val="22"/>
                <w:szCs w:val="22"/>
                <w:u w:val="none"/>
                <w:bdr w:val="none" w:color="auto" w:sz="0" w:space="0"/>
                <w:shd w:val="clear" w:color="auto" w:fill="auto"/>
                <w:lang w:val="en-US" w:eastAsia="zh-CN" w:bidi="ar"/>
              </w:rPr>
              <w:t>单位代码</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pacing w:val="0"/>
                <w:w w:val="100"/>
                <w:kern w:val="0"/>
                <w:position w:val="0"/>
                <w:sz w:val="22"/>
                <w:szCs w:val="22"/>
                <w:u w:val="none"/>
                <w:bdr w:val="none" w:color="auto" w:sz="0" w:space="0"/>
                <w:shd w:val="clear" w:color="auto" w:fill="auto"/>
                <w:lang w:val="en-US" w:eastAsia="zh-CN" w:bidi="ar"/>
              </w:rPr>
              <w:t>单位名称（科目）</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pacing w:val="0"/>
                <w:w w:val="100"/>
                <w:kern w:val="0"/>
                <w:position w:val="0"/>
                <w:sz w:val="22"/>
                <w:szCs w:val="22"/>
                <w:u w:val="none"/>
                <w:bdr w:val="none" w:color="auto" w:sz="0" w:space="0"/>
                <w:shd w:val="clear" w:color="auto" w:fill="auto"/>
                <w:lang w:val="en-US" w:eastAsia="zh-CN" w:bidi="ar"/>
              </w:rPr>
              <w:t>合计</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pacing w:val="0"/>
                <w:w w:val="100"/>
                <w:kern w:val="0"/>
                <w:position w:val="0"/>
                <w:sz w:val="22"/>
                <w:szCs w:val="22"/>
                <w:u w:val="none"/>
                <w:bdr w:val="none" w:color="auto" w:sz="0" w:space="0"/>
                <w:shd w:val="clear" w:color="auto" w:fill="auto"/>
                <w:lang w:val="en-US" w:eastAsia="zh-CN" w:bidi="ar"/>
              </w:rPr>
              <w:t>人员经费</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pacing w:val="0"/>
                <w:w w:val="100"/>
                <w:kern w:val="0"/>
                <w:position w:val="0"/>
                <w:sz w:val="22"/>
                <w:szCs w:val="22"/>
                <w:u w:val="none"/>
                <w:bdr w:val="none" w:color="auto" w:sz="0" w:space="0"/>
                <w:shd w:val="clear" w:color="auto" w:fill="auto"/>
                <w:lang w:val="en-US" w:eastAsia="zh-CN" w:bidi="ar"/>
              </w:rPr>
              <w:t>公用经费</w:t>
            </w:r>
          </w:p>
        </w:tc>
      </w:tr>
      <w:tr>
        <w:tblPrEx>
          <w:tblCellMar>
            <w:top w:w="0" w:type="dxa"/>
            <w:left w:w="0" w:type="dxa"/>
            <w:bottom w:w="0" w:type="dxa"/>
            <w:right w:w="0" w:type="dxa"/>
          </w:tblCellMar>
        </w:tblPrEx>
        <w:trPr>
          <w:trHeight w:val="428" w:hRule="atLeast"/>
        </w:trPr>
        <w:tc>
          <w:tcPr>
            <w:tcW w:w="0" w:type="auto"/>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pacing w:val="0"/>
                <w:w w:val="100"/>
                <w:kern w:val="0"/>
                <w:position w:val="0"/>
                <w:sz w:val="22"/>
                <w:szCs w:val="22"/>
                <w:u w:val="none"/>
                <w:bdr w:val="none" w:color="auto" w:sz="0" w:space="0"/>
                <w:shd w:val="clear" w:color="auto" w:fill="auto"/>
                <w:lang w:val="en-US" w:eastAsia="zh-CN" w:bidi="ar"/>
              </w:rPr>
              <w:t>类</w:t>
            </w: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pacing w:val="0"/>
                <w:w w:val="100"/>
                <w:kern w:val="0"/>
                <w:position w:val="0"/>
                <w:sz w:val="22"/>
                <w:szCs w:val="22"/>
                <w:u w:val="none"/>
                <w:bdr w:val="none" w:color="auto" w:sz="0" w:space="0"/>
                <w:shd w:val="clear" w:color="auto" w:fill="auto"/>
                <w:lang w:val="en-US" w:eastAsia="zh-CN" w:bidi="ar"/>
              </w:rPr>
              <w:t>款</w:t>
            </w: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pacing w:val="0"/>
                <w:w w:val="100"/>
                <w:kern w:val="0"/>
                <w:position w:val="0"/>
                <w:sz w:val="22"/>
                <w:szCs w:val="22"/>
                <w:u w:val="none"/>
                <w:bdr w:val="none" w:color="auto" w:sz="0" w:space="0"/>
                <w:shd w:val="clear" w:color="auto" w:fill="auto"/>
                <w:lang w:val="en-US" w:eastAsia="zh-CN" w:bidi="ar"/>
              </w:rPr>
              <w:t>合    计</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pacing w:val="0"/>
                <w:w w:val="100"/>
                <w:kern w:val="0"/>
                <w:position w:val="0"/>
                <w:sz w:val="22"/>
                <w:szCs w:val="22"/>
                <w:u w:val="none"/>
                <w:bdr w:val="none" w:color="auto" w:sz="0" w:space="0"/>
                <w:shd w:val="clear" w:color="auto" w:fill="auto"/>
                <w:lang w:val="en-US" w:eastAsia="zh-CN" w:bidi="ar"/>
              </w:rPr>
              <w:t>1,550.82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pacing w:val="0"/>
                <w:w w:val="100"/>
                <w:kern w:val="0"/>
                <w:position w:val="0"/>
                <w:sz w:val="22"/>
                <w:szCs w:val="22"/>
                <w:u w:val="none"/>
                <w:bdr w:val="none" w:color="auto" w:sz="0" w:space="0"/>
                <w:shd w:val="clear" w:color="auto" w:fill="auto"/>
                <w:lang w:val="en-US" w:eastAsia="zh-CN" w:bidi="ar"/>
              </w:rPr>
              <w:t>1,279.54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pacing w:val="0"/>
                <w:w w:val="100"/>
                <w:kern w:val="0"/>
                <w:position w:val="0"/>
                <w:sz w:val="22"/>
                <w:szCs w:val="22"/>
                <w:u w:val="none"/>
                <w:bdr w:val="none" w:color="auto" w:sz="0" w:space="0"/>
                <w:shd w:val="clear" w:color="auto" w:fill="auto"/>
                <w:lang w:val="en-US" w:eastAsia="zh-CN" w:bidi="ar"/>
              </w:rPr>
              <w:t>271.28</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1,550.82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1,279.54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271.28</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夹江县交通运输局机关</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240.32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191.57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48.75</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173.06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173.06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69.51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69.51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44.94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44.94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地方津贴补贴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42.72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42.72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2.23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2.23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奖金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年终一次性奖金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19.25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19.25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1.92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1.92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48.75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48.75</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11.19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11.19</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印刷费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电费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2.80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2.80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邮电费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2.36</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物业管理费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差旅费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3.80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3.80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3.48</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30217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公务接待费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3.89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3.89</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2.09</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公务用车运行维护费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2.60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2.60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30239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其他交通费用</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12.95</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对个人和家庭的补助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18.51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18.51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离休费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11.80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11.80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生活补助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医疗费补助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5.85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5.85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奖励金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夹江县公路建设服务中心</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301.91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243.09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58.82</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229.28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227.41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1.88</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90.44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90.44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3.20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3.20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3.20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3.20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绩效工资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65.09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65.09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10.19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10.19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4.92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4.92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28.16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28.16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1.88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1.88</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53.71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53.71</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7.16</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手续费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0.15</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电费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2.16</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邮电费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1.14</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差旅费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16.00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16.00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4.52</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30217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公务接待费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4.64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4.64</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8.53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8.53</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公务用车运行维护费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8.00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8.00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对个人和家庭的补助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15.68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15.68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生活补助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15.66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15.66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奖励金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资本性支出（基本建设）</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3.24</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30902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办公设备购置</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3.24</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夹江县运输中心</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257.60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210.60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47.00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194.45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194.45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76.11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76.11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50.71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50.71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地方津贴补贴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25.23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25.23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奖金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6.34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6.34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年终一次性奖金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6.34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6.34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21.31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21.31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职业年金缴费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8.22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8.22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3.33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3.33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24.38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24.38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47.00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47.00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7.72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7.72</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电费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邮电费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差旅费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8.00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8.00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3.81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3.81</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4.26</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2.28</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公务用车运行维护费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30239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其他交通费用</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13.31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13.31</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2.91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2.91</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对个人和家庭的补助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离休费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医疗费补助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奖励金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夹江县交通运输综合行政执法大队</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278.17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223.70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54.47</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217.96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217.96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82.10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82.10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59.43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59.43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59.43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59.43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奖金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6.84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6.84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年终一次性奖金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6.84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6.84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23.75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23.75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职业年金缴费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9.57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9.57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54.47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54.47</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9.65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9.65</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手续费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0.05</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电费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邮电费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物业管理费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差旅费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6.00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6.00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4.11</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4.81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4.81</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2.46</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公务用车运行维护费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30239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其他交通费用</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14.70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14.70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对个人和家庭的补助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医疗费补助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奖励金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512007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夹江县港航中心</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61.53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50.17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11.36</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46.67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46.67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17.82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17.82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13.07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13.07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地方津贴补贴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奖金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年终一次性奖金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11.36</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2.42</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邮电费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差旅费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0.89</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0.53</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公务用车运行维护费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30239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其他交通费用</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3.18</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对个人和家庭的补助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生活补助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医疗费补助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奖励金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漹城交通站</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31.90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27.69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4.21</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27.69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27.69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10.62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10.62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绩效工资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3.66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3.66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4.21</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2.79</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0.53</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0.57</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0.32</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青衣交通站</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28.10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2.91</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9.44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9.44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2.34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绩效工资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5.86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5.86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2.96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2.96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2.91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2.91</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1.88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1.88</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0.33</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0.43</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0.28</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新场交通站</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52.52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45.55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6.98</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45.52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45.52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16.90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16.90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绩效工资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13.21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13.21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6.98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6.98</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4.67</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0.84</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0.95</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0.51</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对个人和家庭的补助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奖励金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甘江交通站</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62.54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7.14</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19.89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19.89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绩效工资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2.44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6.70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6.70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7.14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7.14</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4.67</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0.85</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1.02</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木城交通站</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50.93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45.21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5.71</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45.18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16.14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16.14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绩效工资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12.27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12.27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0.98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5.71</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3.74</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0.67</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0.82</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0.48</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对个人和家庭的补助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奖励金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吴场交通站</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66.09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57.62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8.48</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57.62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57.62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21.48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21.48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绩效工资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16.36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6.42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2.50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7.34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7.34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8.48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8.48</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5.57</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1.07</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1.19</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0.64</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黄土交通站</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42.25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36.68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5.57</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36.65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36.65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13.32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13.32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1.52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绩效工资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4.05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4.88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4.88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5.57</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3.74</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0.67</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0.76</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0.40</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对个人和家庭的补助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奖励金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马村交通站</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43.79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38.14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5.65</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38.12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38.12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14.49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14.49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绩效工资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10.94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10.94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0.82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5.65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5.65</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3.71</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0.72</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0.79</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0.43</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对个人和家庭的补助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30309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奖励金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512109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华头交通站</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33.16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28.95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4.21</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28.95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28.95</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10.18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2.63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2.63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其他津贴补贴</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2.63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2.63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30107</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绩效工资</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7.43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30110</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1.24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0.63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3011204</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生育保险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3011208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3011299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30113</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3.59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3.59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4.21</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30201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2.76</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30216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0.56</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0.56</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30228</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0.59</w:t>
            </w:r>
          </w:p>
        </w:tc>
      </w:tr>
      <w:tr>
        <w:tblPrEx>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2"/>
                <w:bdr w:val="none" w:color="auto" w:sz="0" w:space="0"/>
                <w:lang w:eastAsia="zh-CN" w:bidi="ar"/>
              </w:rPr>
              <w:t>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30229</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2"/>
                <w:bdr w:val="none" w:color="auto" w:sz="0" w:space="0"/>
                <w:lang w:eastAsia="zh-CN" w:bidi="ar"/>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0.31</w:t>
            </w: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bdr w:val="none" w:color="auto" w:sz="0" w:space="0"/>
                <w:shd w:val="clear" w:color="auto" w:fill="auto"/>
                <w:lang w:val="en-US" w:eastAsia="zh-CN" w:bidi="ar"/>
              </w:rPr>
              <w:t>0.31</w:t>
            </w:r>
          </w:p>
        </w:tc>
      </w:tr>
    </w:tbl>
    <w:p>
      <w:pPr>
        <w:pStyle w:val="2"/>
        <w:sectPr>
          <w:footerReference r:id="rId22" w:type="default"/>
          <w:pgSz w:w="11906" w:h="16839"/>
          <w:pgMar w:top="1431" w:right="1780" w:bottom="856" w:left="1780" w:header="0" w:footer="572" w:gutter="0"/>
          <w:cols w:space="720" w:num="1"/>
        </w:sectPr>
      </w:pPr>
    </w:p>
    <w:p>
      <w:pPr>
        <w:spacing w:line="245" w:lineRule="auto"/>
        <w:rPr>
          <w:rFonts w:ascii="Arial"/>
          <w:sz w:val="21"/>
        </w:rPr>
      </w:pPr>
    </w:p>
    <w:p>
      <w:pPr>
        <w:spacing w:line="246" w:lineRule="auto"/>
        <w:rPr>
          <w:rFonts w:ascii="Arial"/>
          <w:sz w:val="21"/>
        </w:rPr>
      </w:pPr>
    </w:p>
    <w:p>
      <w:pPr>
        <w:spacing w:before="72" w:line="212" w:lineRule="auto"/>
        <w:ind w:right="38"/>
        <w:jc w:val="right"/>
        <w:rPr>
          <w:rFonts w:ascii="宋体" w:hAnsi="宋体" w:eastAsia="宋体" w:cs="宋体"/>
          <w:sz w:val="22"/>
          <w:szCs w:val="22"/>
        </w:rPr>
      </w:pPr>
      <w:r>
        <w:rPr>
          <w:rFonts w:ascii="宋体" w:hAnsi="宋体" w:eastAsia="宋体" w:cs="宋体"/>
          <w:spacing w:val="-7"/>
          <w:sz w:val="22"/>
          <w:szCs w:val="22"/>
        </w:rPr>
        <w:t>公开表 3-2</w:t>
      </w:r>
    </w:p>
    <w:tbl>
      <w:tblPr>
        <w:tblStyle w:val="30"/>
        <w:tblW w:w="10101" w:type="dxa"/>
        <w:tblInd w:w="2" w:type="dxa"/>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
      <w:tblGrid>
        <w:gridCol w:w="407"/>
        <w:gridCol w:w="281"/>
        <w:gridCol w:w="281"/>
        <w:gridCol w:w="1022"/>
        <w:gridCol w:w="4588"/>
        <w:gridCol w:w="1761"/>
        <w:gridCol w:w="1761"/>
      </w:tblGrid>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648" w:hRule="atLeast"/>
        </w:trPr>
        <w:tc>
          <w:tcPr>
            <w:tcW w:w="8340" w:type="dxa"/>
            <w:gridSpan w:val="6"/>
            <w:tcBorders>
              <w:top w:val="single" w:color="FFFFFF" w:sz="2" w:space="0"/>
              <w:left w:val="single" w:color="FFFFFF" w:sz="2" w:space="0"/>
              <w:bottom w:val="single" w:color="FFFFFF" w:sz="2" w:space="0"/>
              <w:right w:val="single" w:color="FFFFFF" w:sz="2" w:space="0"/>
            </w:tcBorders>
            <w:vAlign w:val="top"/>
          </w:tcPr>
          <w:p>
            <w:pPr>
              <w:spacing w:before="174" w:line="474" w:lineRule="exact"/>
              <w:ind w:left="2098"/>
              <w:rPr>
                <w:rFonts w:ascii="宋体" w:hAnsi="宋体" w:eastAsia="宋体" w:cs="宋体"/>
                <w:sz w:val="31"/>
                <w:szCs w:val="31"/>
              </w:rPr>
            </w:pPr>
            <w:r>
              <w:rPr>
                <w:rFonts w:ascii="宋体" w:hAnsi="宋体" w:eastAsia="宋体" w:cs="宋体"/>
                <w:spacing w:val="17"/>
                <w:position w:val="1"/>
                <w:sz w:val="31"/>
                <w:szCs w:val="31"/>
                <w14:textOutline w14:w="5793" w14:cap="sq" w14:cmpd="sng">
                  <w14:solidFill>
                    <w14:srgbClr w14:val="000000"/>
                  </w14:solidFill>
                  <w14:prstDash w14:val="solid"/>
                  <w14:bevel/>
                </w14:textOutline>
              </w:rPr>
              <w:t>一</w:t>
            </w:r>
            <w:r>
              <w:rPr>
                <w:rFonts w:ascii="宋体" w:hAnsi="宋体" w:eastAsia="宋体" w:cs="宋体"/>
                <w:spacing w:val="9"/>
                <w:position w:val="1"/>
                <w:sz w:val="31"/>
                <w:szCs w:val="31"/>
                <w14:textOutline w14:w="5793" w14:cap="sq" w14:cmpd="sng">
                  <w14:solidFill>
                    <w14:srgbClr w14:val="000000"/>
                  </w14:solidFill>
                  <w14:prstDash w14:val="solid"/>
                  <w14:bevel/>
                </w14:textOutline>
              </w:rPr>
              <w:t>般公共预算项目支出预算表</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11" w:hRule="atLeast"/>
        </w:trPr>
        <w:tc>
          <w:tcPr>
            <w:tcW w:w="6579" w:type="dxa"/>
            <w:gridSpan w:val="5"/>
            <w:tcBorders>
              <w:top w:val="single" w:color="FFFFFF" w:sz="2" w:space="0"/>
              <w:left w:val="single" w:color="FFFFFF" w:sz="2" w:space="0"/>
              <w:right w:val="single" w:color="FFFFFF" w:sz="2" w:space="0"/>
            </w:tcBorders>
            <w:vAlign w:val="top"/>
          </w:tcPr>
          <w:p>
            <w:pPr>
              <w:spacing w:before="99" w:line="222" w:lineRule="auto"/>
              <w:ind w:left="25"/>
              <w:rPr>
                <w:rFonts w:hint="eastAsia" w:ascii="宋体" w:hAnsi="宋体" w:eastAsia="宋体" w:cs="宋体"/>
                <w:sz w:val="22"/>
                <w:szCs w:val="22"/>
                <w:lang w:eastAsia="zh-CN"/>
              </w:rPr>
            </w:pPr>
            <w:r>
              <w:rPr>
                <w:rFonts w:ascii="宋体" w:hAnsi="宋体" w:eastAsia="宋体" w:cs="宋体"/>
                <w:spacing w:val="-1"/>
                <w:sz w:val="22"/>
                <w:szCs w:val="22"/>
              </w:rPr>
              <w:t>单位：</w:t>
            </w:r>
            <w:r>
              <w:rPr>
                <w:rFonts w:hint="eastAsia" w:ascii="宋体" w:hAnsi="宋体" w:eastAsia="宋体" w:cs="宋体"/>
                <w:spacing w:val="-1"/>
                <w:sz w:val="22"/>
                <w:szCs w:val="22"/>
                <w:lang w:eastAsia="zh-CN"/>
              </w:rPr>
              <w:t>夹江县交通运输局</w:t>
            </w:r>
          </w:p>
        </w:tc>
        <w:tc>
          <w:tcPr>
            <w:tcW w:w="1761" w:type="dxa"/>
            <w:tcBorders>
              <w:top w:val="single" w:color="FFFFFF" w:sz="2" w:space="0"/>
              <w:left w:val="single" w:color="FFFFFF" w:sz="2" w:space="0"/>
              <w:right w:val="single" w:color="FFFFFF" w:sz="2" w:space="0"/>
            </w:tcBorders>
            <w:vAlign w:val="top"/>
          </w:tcPr>
          <w:p>
            <w:pPr>
              <w:spacing w:before="99" w:line="221" w:lineRule="auto"/>
              <w:ind w:left="118"/>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507" w:hRule="atLeast"/>
        </w:trPr>
        <w:tc>
          <w:tcPr>
            <w:tcW w:w="969" w:type="dxa"/>
            <w:gridSpan w:val="3"/>
            <w:shd w:val="clear" w:color="auto" w:fill="EFF2F7"/>
            <w:vAlign w:val="top"/>
          </w:tcPr>
          <w:p>
            <w:pPr>
              <w:spacing w:before="149" w:line="220" w:lineRule="auto"/>
              <w:ind w:left="49"/>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科目</w:t>
            </w:r>
            <w:r>
              <w:rPr>
                <w:rFonts w:ascii="宋体" w:hAnsi="宋体" w:eastAsia="宋体" w:cs="宋体"/>
                <w:spacing w:val="-1"/>
                <w:sz w:val="22"/>
                <w:szCs w:val="22"/>
                <w14:textOutline w14:w="4013" w14:cap="sq" w14:cmpd="sng">
                  <w14:solidFill>
                    <w14:srgbClr w14:val="000000"/>
                  </w14:solidFill>
                  <w14:prstDash w14:val="solid"/>
                  <w14:bevel/>
                </w14:textOutline>
              </w:rPr>
              <w:t>编码</w:t>
            </w:r>
          </w:p>
        </w:tc>
        <w:tc>
          <w:tcPr>
            <w:tcW w:w="1022" w:type="dxa"/>
            <w:vMerge w:val="restart"/>
            <w:tcBorders>
              <w:bottom w:val="nil"/>
            </w:tcBorders>
            <w:shd w:val="clear" w:color="auto" w:fill="EFF2F7"/>
            <w:vAlign w:val="top"/>
          </w:tcPr>
          <w:p>
            <w:pPr>
              <w:spacing w:line="332" w:lineRule="auto"/>
              <w:rPr>
                <w:rFonts w:ascii="Arial"/>
                <w:sz w:val="21"/>
              </w:rPr>
            </w:pPr>
          </w:p>
          <w:p>
            <w:pPr>
              <w:spacing w:before="72" w:line="221" w:lineRule="auto"/>
              <w:ind w:left="76"/>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单位代</w:t>
            </w:r>
            <w:r>
              <w:rPr>
                <w:rFonts w:ascii="宋体" w:hAnsi="宋体" w:eastAsia="宋体" w:cs="宋体"/>
                <w:spacing w:val="-1"/>
                <w:sz w:val="22"/>
                <w:szCs w:val="22"/>
                <w14:textOutline w14:w="4013" w14:cap="sq" w14:cmpd="sng">
                  <w14:solidFill>
                    <w14:srgbClr w14:val="000000"/>
                  </w14:solidFill>
                  <w14:prstDash w14:val="solid"/>
                  <w14:bevel/>
                </w14:textOutline>
              </w:rPr>
              <w:t>码</w:t>
            </w:r>
          </w:p>
        </w:tc>
        <w:tc>
          <w:tcPr>
            <w:tcW w:w="4588" w:type="dxa"/>
            <w:vMerge w:val="restart"/>
            <w:tcBorders>
              <w:bottom w:val="nil"/>
            </w:tcBorders>
            <w:shd w:val="clear" w:color="auto" w:fill="EFF2F7"/>
            <w:vAlign w:val="top"/>
          </w:tcPr>
          <w:p>
            <w:pPr>
              <w:spacing w:line="333" w:lineRule="auto"/>
              <w:rPr>
                <w:rFonts w:ascii="Arial"/>
                <w:sz w:val="21"/>
              </w:rPr>
            </w:pPr>
          </w:p>
          <w:p>
            <w:pPr>
              <w:spacing w:before="71" w:line="220" w:lineRule="auto"/>
              <w:ind w:left="1422"/>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单位名称</w:t>
            </w:r>
            <w:r>
              <w:rPr>
                <w:rFonts w:ascii="宋体" w:hAnsi="宋体" w:eastAsia="宋体" w:cs="宋体"/>
                <w:spacing w:val="-1"/>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(科目)</w:t>
            </w:r>
          </w:p>
        </w:tc>
        <w:tc>
          <w:tcPr>
            <w:tcW w:w="1761" w:type="dxa"/>
            <w:vMerge w:val="restart"/>
            <w:tcBorders>
              <w:bottom w:val="nil"/>
            </w:tcBorders>
            <w:shd w:val="clear" w:color="auto" w:fill="EFF2F7"/>
            <w:vAlign w:val="top"/>
          </w:tcPr>
          <w:p>
            <w:pPr>
              <w:spacing w:line="332" w:lineRule="auto"/>
              <w:rPr>
                <w:rFonts w:ascii="Arial"/>
                <w:sz w:val="21"/>
              </w:rPr>
            </w:pPr>
          </w:p>
          <w:p>
            <w:pPr>
              <w:spacing w:before="72" w:line="221" w:lineRule="auto"/>
              <w:ind w:left="667"/>
              <w:rPr>
                <w:rFonts w:ascii="宋体" w:hAnsi="宋体" w:eastAsia="宋体" w:cs="宋体"/>
                <w:sz w:val="22"/>
                <w:szCs w:val="22"/>
              </w:rPr>
            </w:pPr>
            <w:r>
              <w:rPr>
                <w:rFonts w:ascii="宋体" w:hAnsi="宋体" w:eastAsia="宋体" w:cs="宋体"/>
                <w:spacing w:val="-5"/>
                <w:sz w:val="22"/>
                <w:szCs w:val="22"/>
                <w14:textOutline w14:w="4013" w14:cap="sq" w14:cmpd="sng">
                  <w14:solidFill>
                    <w14:srgbClr w14:val="000000"/>
                  </w14:solidFill>
                  <w14:prstDash w14:val="solid"/>
                  <w14:bevel/>
                </w14:textOutline>
              </w:rPr>
              <w:t>金</w:t>
            </w:r>
            <w:r>
              <w:rPr>
                <w:rFonts w:ascii="宋体" w:hAnsi="宋体" w:eastAsia="宋体" w:cs="宋体"/>
                <w:spacing w:val="-4"/>
                <w:sz w:val="22"/>
                <w:szCs w:val="22"/>
                <w14:textOutline w14:w="4013" w14:cap="sq" w14:cmpd="sng">
                  <w14:solidFill>
                    <w14:srgbClr w14:val="000000"/>
                  </w14:solidFill>
                  <w14:prstDash w14:val="solid"/>
                  <w14:bevel/>
                </w14:textOutline>
              </w:rPr>
              <w:t>额</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507" w:hRule="atLeast"/>
        </w:trPr>
        <w:tc>
          <w:tcPr>
            <w:tcW w:w="407" w:type="dxa"/>
            <w:shd w:val="clear" w:color="auto" w:fill="EFF2F7"/>
            <w:vAlign w:val="top"/>
          </w:tcPr>
          <w:p>
            <w:pPr>
              <w:spacing w:before="151" w:line="221" w:lineRule="auto"/>
              <w:ind w:left="100"/>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类</w:t>
            </w:r>
          </w:p>
        </w:tc>
        <w:tc>
          <w:tcPr>
            <w:tcW w:w="281" w:type="dxa"/>
            <w:shd w:val="clear" w:color="auto" w:fill="EFF2F7"/>
            <w:vAlign w:val="top"/>
          </w:tcPr>
          <w:p>
            <w:pPr>
              <w:spacing w:before="151" w:line="222" w:lineRule="auto"/>
              <w:ind w:left="34"/>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款</w:t>
            </w:r>
          </w:p>
        </w:tc>
        <w:tc>
          <w:tcPr>
            <w:tcW w:w="281" w:type="dxa"/>
            <w:shd w:val="clear" w:color="auto" w:fill="EFF2F7"/>
            <w:vAlign w:val="top"/>
          </w:tcPr>
          <w:p>
            <w:pPr>
              <w:spacing w:before="150" w:line="222" w:lineRule="auto"/>
              <w:ind w:left="37"/>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项</w:t>
            </w:r>
          </w:p>
        </w:tc>
        <w:tc>
          <w:tcPr>
            <w:tcW w:w="1022" w:type="dxa"/>
            <w:vMerge w:val="continue"/>
            <w:tcBorders>
              <w:top w:val="nil"/>
            </w:tcBorders>
            <w:vAlign w:val="top"/>
          </w:tcPr>
          <w:p>
            <w:pPr>
              <w:rPr>
                <w:rFonts w:ascii="Arial"/>
                <w:sz w:val="21"/>
              </w:rPr>
            </w:pPr>
          </w:p>
        </w:tc>
        <w:tc>
          <w:tcPr>
            <w:tcW w:w="4588" w:type="dxa"/>
            <w:vMerge w:val="continue"/>
            <w:tcBorders>
              <w:top w:val="nil"/>
            </w:tcBorders>
            <w:vAlign w:val="top"/>
          </w:tcPr>
          <w:p>
            <w:pPr>
              <w:rPr>
                <w:rFonts w:ascii="Arial"/>
                <w:sz w:val="21"/>
              </w:rPr>
            </w:pPr>
          </w:p>
        </w:tc>
        <w:tc>
          <w:tcPr>
            <w:tcW w:w="1761" w:type="dxa"/>
            <w:vMerge w:val="continue"/>
            <w:tcBorders>
              <w:top w:val="nil"/>
            </w:tcBorders>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5" w:hRule="atLeast"/>
        </w:trPr>
        <w:tc>
          <w:tcPr>
            <w:tcW w:w="407" w:type="dxa"/>
            <w:vAlign w:val="top"/>
          </w:tcPr>
          <w:p>
            <w:pPr>
              <w:rPr>
                <w:rFonts w:ascii="Arial"/>
                <w:sz w:val="21"/>
              </w:rPr>
            </w:pPr>
          </w:p>
        </w:tc>
        <w:tc>
          <w:tcPr>
            <w:tcW w:w="281" w:type="dxa"/>
            <w:vAlign w:val="top"/>
          </w:tcPr>
          <w:p>
            <w:pPr>
              <w:rPr>
                <w:rFonts w:ascii="Arial"/>
                <w:sz w:val="21"/>
              </w:rPr>
            </w:pPr>
          </w:p>
        </w:tc>
        <w:tc>
          <w:tcPr>
            <w:tcW w:w="281" w:type="dxa"/>
            <w:vAlign w:val="top"/>
          </w:tcPr>
          <w:p>
            <w:pPr>
              <w:rPr>
                <w:rFonts w:ascii="Arial"/>
                <w:sz w:val="21"/>
              </w:rPr>
            </w:pPr>
          </w:p>
        </w:tc>
        <w:tc>
          <w:tcPr>
            <w:tcW w:w="1022" w:type="dxa"/>
            <w:vAlign w:val="top"/>
          </w:tcPr>
          <w:p>
            <w:pPr>
              <w:rPr>
                <w:rFonts w:ascii="Arial"/>
                <w:sz w:val="21"/>
              </w:rPr>
            </w:pPr>
          </w:p>
        </w:tc>
        <w:tc>
          <w:tcPr>
            <w:tcW w:w="4588" w:type="dxa"/>
            <w:vAlign w:val="top"/>
          </w:tcPr>
          <w:p>
            <w:pPr>
              <w:spacing w:before="136" w:line="222" w:lineRule="auto"/>
              <w:ind w:left="1861"/>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合</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计</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b/>
                <w:i w:val="0"/>
                <w:color w:val="000000"/>
                <w:spacing w:val="0"/>
                <w:w w:val="100"/>
                <w:position w:val="0"/>
                <w:sz w:val="22"/>
                <w:szCs w:val="22"/>
                <w:u w:val="none"/>
                <w:shd w:val="clear" w:color="auto" w:fill="auto"/>
                <w:lang w:val="en-US" w:eastAsia="en-US" w:bidi="en-US"/>
              </w:rPr>
            </w:pPr>
            <w:r>
              <w:rPr>
                <w:rFonts w:hint="eastAsia" w:ascii="宋体" w:hAnsi="宋体" w:eastAsia="宋体" w:cs="宋体"/>
                <w:b/>
                <w:i w:val="0"/>
                <w:color w:val="000000"/>
                <w:spacing w:val="0"/>
                <w:w w:val="100"/>
                <w:kern w:val="0"/>
                <w:position w:val="0"/>
                <w:sz w:val="22"/>
                <w:szCs w:val="22"/>
                <w:u w:val="none"/>
                <w:shd w:val="clear" w:color="auto" w:fill="auto"/>
                <w:lang w:val="en-US" w:eastAsia="zh-CN" w:bidi="ar"/>
              </w:rPr>
              <w:t>1,956.88</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6" w:hRule="atLeast"/>
        </w:trPr>
        <w:tc>
          <w:tcPr>
            <w:tcW w:w="407" w:type="dxa"/>
            <w:vAlign w:val="top"/>
          </w:tcPr>
          <w:p>
            <w:pPr>
              <w:rPr>
                <w:rFonts w:ascii="Arial"/>
                <w:sz w:val="21"/>
              </w:rPr>
            </w:pPr>
          </w:p>
        </w:tc>
        <w:tc>
          <w:tcPr>
            <w:tcW w:w="281" w:type="dxa"/>
            <w:vAlign w:val="top"/>
          </w:tcPr>
          <w:p>
            <w:pPr>
              <w:rPr>
                <w:rFonts w:ascii="Arial"/>
                <w:sz w:val="21"/>
              </w:rPr>
            </w:pPr>
          </w:p>
        </w:tc>
        <w:tc>
          <w:tcPr>
            <w:tcW w:w="281" w:type="dxa"/>
            <w:vAlign w:val="top"/>
          </w:tcPr>
          <w:p>
            <w:pPr>
              <w:rPr>
                <w:rFonts w:ascii="Arial"/>
                <w:sz w:val="21"/>
              </w:rPr>
            </w:pPr>
          </w:p>
        </w:tc>
        <w:tc>
          <w:tcPr>
            <w:tcW w:w="1022" w:type="dxa"/>
            <w:vAlign w:val="top"/>
          </w:tcPr>
          <w:p>
            <w:pPr>
              <w:rPr>
                <w:rFonts w:ascii="Arial"/>
                <w:sz w:val="21"/>
              </w:rPr>
            </w:pPr>
          </w:p>
        </w:tc>
        <w:tc>
          <w:tcPr>
            <w:tcW w:w="4588" w:type="dxa"/>
            <w:vAlign w:val="top"/>
          </w:tcPr>
          <w:p>
            <w:pPr>
              <w:spacing w:before="135" w:line="222" w:lineRule="auto"/>
              <w:ind w:left="20"/>
              <w:rPr>
                <w:rFonts w:ascii="宋体" w:hAnsi="宋体" w:eastAsia="宋体" w:cs="宋体"/>
                <w:sz w:val="22"/>
                <w:szCs w:val="22"/>
              </w:rPr>
            </w:pP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1,956.88</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6" w:hRule="atLeast"/>
        </w:trPr>
        <w:tc>
          <w:tcPr>
            <w:tcW w:w="407" w:type="dxa"/>
            <w:vAlign w:val="top"/>
          </w:tcPr>
          <w:p>
            <w:pPr>
              <w:rPr>
                <w:rFonts w:ascii="Arial"/>
                <w:sz w:val="21"/>
              </w:rPr>
            </w:pPr>
          </w:p>
        </w:tc>
        <w:tc>
          <w:tcPr>
            <w:tcW w:w="281" w:type="dxa"/>
            <w:vAlign w:val="top"/>
          </w:tcPr>
          <w:p>
            <w:pPr>
              <w:rPr>
                <w:rFonts w:ascii="Arial"/>
                <w:sz w:val="21"/>
              </w:rPr>
            </w:pPr>
          </w:p>
        </w:tc>
        <w:tc>
          <w:tcPr>
            <w:tcW w:w="281" w:type="dxa"/>
            <w:vAlign w:val="top"/>
          </w:tcPr>
          <w:p>
            <w:pPr>
              <w:rPr>
                <w:rFonts w:ascii="Arial"/>
                <w:sz w:val="21"/>
              </w:rPr>
            </w:pPr>
          </w:p>
        </w:tc>
        <w:tc>
          <w:tcPr>
            <w:tcW w:w="1022" w:type="dxa"/>
            <w:vAlign w:val="top"/>
          </w:tcPr>
          <w:p>
            <w:pPr>
              <w:rPr>
                <w:rFonts w:ascii="Arial"/>
                <w:sz w:val="21"/>
              </w:rPr>
            </w:pP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夹江县交通运输局机关</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1,289.88</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6" w:hRule="atLeast"/>
        </w:trPr>
        <w:tc>
          <w:tcPr>
            <w:tcW w:w="407" w:type="dxa"/>
            <w:vAlign w:val="top"/>
          </w:tcPr>
          <w:p>
            <w:pPr>
              <w:spacing w:before="170" w:line="186" w:lineRule="auto"/>
              <w:ind w:left="26"/>
              <w:rPr>
                <w:rFonts w:ascii="宋体" w:hAnsi="宋体" w:eastAsia="宋体" w:cs="宋体"/>
                <w:sz w:val="22"/>
                <w:szCs w:val="22"/>
              </w:rPr>
            </w:pPr>
          </w:p>
        </w:tc>
        <w:tc>
          <w:tcPr>
            <w:tcW w:w="281" w:type="dxa"/>
            <w:vAlign w:val="top"/>
          </w:tcPr>
          <w:p>
            <w:pPr>
              <w:spacing w:before="171" w:line="185" w:lineRule="auto"/>
              <w:ind w:left="21"/>
              <w:rPr>
                <w:rFonts w:ascii="宋体" w:hAnsi="宋体" w:eastAsia="宋体" w:cs="宋体"/>
                <w:sz w:val="22"/>
                <w:szCs w:val="22"/>
              </w:rPr>
            </w:pPr>
          </w:p>
        </w:tc>
        <w:tc>
          <w:tcPr>
            <w:tcW w:w="281" w:type="dxa"/>
            <w:vAlign w:val="top"/>
          </w:tcPr>
          <w:p>
            <w:pPr>
              <w:spacing w:before="171" w:line="185" w:lineRule="auto"/>
              <w:ind w:left="20"/>
              <w:rPr>
                <w:rFonts w:ascii="宋体" w:hAnsi="宋体" w:eastAsia="宋体" w:cs="宋体"/>
                <w:sz w:val="22"/>
                <w:szCs w:val="22"/>
              </w:rPr>
            </w:pPr>
          </w:p>
        </w:tc>
        <w:tc>
          <w:tcPr>
            <w:tcW w:w="1022" w:type="dxa"/>
            <w:vAlign w:val="top"/>
          </w:tcPr>
          <w:p>
            <w:pPr>
              <w:spacing w:before="170" w:line="186" w:lineRule="auto"/>
              <w:ind w:left="23"/>
              <w:rPr>
                <w:rFonts w:ascii="宋体" w:hAnsi="宋体" w:eastAsia="宋体" w:cs="宋体"/>
                <w:sz w:val="22"/>
                <w:szCs w:val="22"/>
              </w:rPr>
            </w:pP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一般行政管理事务</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68.68</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6" w:hRule="atLeast"/>
        </w:trPr>
        <w:tc>
          <w:tcPr>
            <w:tcW w:w="40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1" w:type="dxa"/>
            <w:vAlign w:val="top"/>
          </w:tcPr>
          <w:p>
            <w:pPr>
              <w:rPr>
                <w:rFonts w:hint="default" w:ascii="Arial" w:eastAsia="宋体"/>
                <w:sz w:val="21"/>
                <w:lang w:val="en-US" w:eastAsia="zh-CN"/>
              </w:rPr>
            </w:pPr>
            <w:r>
              <w:rPr>
                <w:rFonts w:hint="eastAsia" w:ascii="Arial" w:eastAsia="宋体"/>
                <w:sz w:val="21"/>
                <w:lang w:val="en-US" w:eastAsia="zh-CN"/>
              </w:rPr>
              <w:t>01</w:t>
            </w:r>
          </w:p>
        </w:tc>
        <w:tc>
          <w:tcPr>
            <w:tcW w:w="281" w:type="dxa"/>
            <w:vAlign w:val="top"/>
          </w:tcPr>
          <w:p>
            <w:pPr>
              <w:rPr>
                <w:rFonts w:hint="default" w:ascii="Arial" w:eastAsia="宋体"/>
                <w:sz w:val="21"/>
                <w:lang w:val="en-US" w:eastAsia="zh-CN"/>
              </w:rPr>
            </w:pPr>
            <w:r>
              <w:rPr>
                <w:rFonts w:hint="eastAsia" w:ascii="Arial" w:eastAsia="宋体"/>
                <w:sz w:val="21"/>
                <w:lang w:val="en-US" w:eastAsia="zh-CN"/>
              </w:rPr>
              <w:t>02</w:t>
            </w:r>
          </w:p>
        </w:tc>
        <w:tc>
          <w:tcPr>
            <w:tcW w:w="10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农村公路CNG补助</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55.27</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6" w:hRule="atLeast"/>
        </w:trPr>
        <w:tc>
          <w:tcPr>
            <w:tcW w:w="40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1" w:type="dxa"/>
            <w:vAlign w:val="top"/>
          </w:tcPr>
          <w:p>
            <w:pPr>
              <w:spacing w:before="171" w:line="185" w:lineRule="auto"/>
              <w:ind w:left="2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01</w:t>
            </w:r>
          </w:p>
        </w:tc>
        <w:tc>
          <w:tcPr>
            <w:tcW w:w="281" w:type="dxa"/>
            <w:vAlign w:val="top"/>
          </w:tcPr>
          <w:p>
            <w:pPr>
              <w:spacing w:before="171" w:line="185" w:lineRule="auto"/>
              <w:ind w:left="2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02</w:t>
            </w:r>
          </w:p>
        </w:tc>
        <w:tc>
          <w:tcPr>
            <w:tcW w:w="10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渡运公司职工生活补助</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12.68</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6" w:hRule="atLeast"/>
        </w:trPr>
        <w:tc>
          <w:tcPr>
            <w:tcW w:w="40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1" w:type="dxa"/>
            <w:vAlign w:val="top"/>
          </w:tcPr>
          <w:p>
            <w:pPr>
              <w:spacing w:before="173" w:line="185" w:lineRule="auto"/>
              <w:ind w:left="2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01</w:t>
            </w:r>
          </w:p>
        </w:tc>
        <w:tc>
          <w:tcPr>
            <w:tcW w:w="281" w:type="dxa"/>
            <w:vAlign w:val="top"/>
          </w:tcPr>
          <w:p>
            <w:pPr>
              <w:spacing w:before="173" w:line="185" w:lineRule="auto"/>
              <w:ind w:left="2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02</w:t>
            </w:r>
          </w:p>
        </w:tc>
        <w:tc>
          <w:tcPr>
            <w:tcW w:w="1022" w:type="dxa"/>
            <w:vAlign w:val="top"/>
          </w:tcPr>
          <w:p>
            <w:pPr>
              <w:spacing w:before="172" w:line="186" w:lineRule="auto"/>
              <w:ind w:left="23"/>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512001</w:t>
            </w: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公路运输车辆样本统计调查专项经费</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0.72</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6" w:hRule="atLeast"/>
        </w:trPr>
        <w:tc>
          <w:tcPr>
            <w:tcW w:w="407" w:type="dxa"/>
            <w:vAlign w:val="top"/>
          </w:tcPr>
          <w:p>
            <w:pPr>
              <w:spacing w:before="171" w:line="186" w:lineRule="auto"/>
              <w:ind w:left="26"/>
              <w:rPr>
                <w:rFonts w:ascii="宋体" w:hAnsi="宋体" w:eastAsia="宋体" w:cs="宋体"/>
                <w:sz w:val="22"/>
                <w:szCs w:val="22"/>
              </w:rPr>
            </w:pPr>
          </w:p>
        </w:tc>
        <w:tc>
          <w:tcPr>
            <w:tcW w:w="281" w:type="dxa"/>
            <w:vAlign w:val="top"/>
          </w:tcPr>
          <w:p>
            <w:pPr>
              <w:spacing w:before="172" w:line="185" w:lineRule="auto"/>
              <w:ind w:left="21"/>
              <w:rPr>
                <w:rFonts w:ascii="宋体" w:hAnsi="宋体" w:eastAsia="宋体" w:cs="宋体"/>
                <w:sz w:val="22"/>
                <w:szCs w:val="22"/>
              </w:rPr>
            </w:pPr>
          </w:p>
        </w:tc>
        <w:tc>
          <w:tcPr>
            <w:tcW w:w="281" w:type="dxa"/>
            <w:vAlign w:val="top"/>
          </w:tcPr>
          <w:p>
            <w:pPr>
              <w:spacing w:before="172" w:line="185" w:lineRule="auto"/>
              <w:ind w:left="21"/>
              <w:rPr>
                <w:rFonts w:ascii="宋体" w:hAnsi="宋体" w:eastAsia="宋体" w:cs="宋体"/>
                <w:sz w:val="22"/>
                <w:szCs w:val="22"/>
              </w:rPr>
            </w:pPr>
          </w:p>
        </w:tc>
        <w:tc>
          <w:tcPr>
            <w:tcW w:w="1022" w:type="dxa"/>
            <w:vAlign w:val="top"/>
          </w:tcPr>
          <w:p>
            <w:pPr>
              <w:spacing w:before="171" w:line="186" w:lineRule="auto"/>
              <w:ind w:left="23"/>
              <w:rPr>
                <w:rFonts w:ascii="宋体" w:hAnsi="宋体" w:eastAsia="宋体" w:cs="宋体"/>
                <w:sz w:val="22"/>
                <w:szCs w:val="22"/>
              </w:rPr>
            </w:pP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公路建设</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268.00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6" w:hRule="atLeast"/>
        </w:trPr>
        <w:tc>
          <w:tcPr>
            <w:tcW w:w="40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1" w:type="dxa"/>
            <w:vAlign w:val="top"/>
          </w:tcPr>
          <w:p>
            <w:pPr>
              <w:spacing w:before="171" w:line="185" w:lineRule="auto"/>
              <w:ind w:left="2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01</w:t>
            </w:r>
          </w:p>
        </w:tc>
        <w:tc>
          <w:tcPr>
            <w:tcW w:w="281" w:type="dxa"/>
            <w:vAlign w:val="top"/>
          </w:tcPr>
          <w:p>
            <w:pPr>
              <w:spacing w:before="171" w:line="185" w:lineRule="auto"/>
              <w:ind w:left="2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04</w:t>
            </w:r>
          </w:p>
        </w:tc>
        <w:tc>
          <w:tcPr>
            <w:tcW w:w="10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11个建制村通畅工程</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128.00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6" w:hRule="atLeast"/>
        </w:trPr>
        <w:tc>
          <w:tcPr>
            <w:tcW w:w="40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1" w:type="dxa"/>
            <w:vAlign w:val="top"/>
          </w:tcPr>
          <w:p>
            <w:pPr>
              <w:spacing w:before="172" w:line="185" w:lineRule="auto"/>
              <w:ind w:left="2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01</w:t>
            </w:r>
          </w:p>
        </w:tc>
        <w:tc>
          <w:tcPr>
            <w:tcW w:w="281" w:type="dxa"/>
            <w:vAlign w:val="top"/>
          </w:tcPr>
          <w:p>
            <w:pPr>
              <w:spacing w:before="172" w:line="185" w:lineRule="auto"/>
              <w:ind w:left="2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04</w:t>
            </w:r>
          </w:p>
        </w:tc>
        <w:tc>
          <w:tcPr>
            <w:tcW w:w="10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2021年7.9暴雨洪灾补助</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40.00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6" w:hRule="atLeast"/>
        </w:trPr>
        <w:tc>
          <w:tcPr>
            <w:tcW w:w="407" w:type="dxa"/>
            <w:vAlign w:val="top"/>
          </w:tcPr>
          <w:p>
            <w:pPr>
              <w:spacing w:before="170" w:line="186" w:lineRule="auto"/>
              <w:ind w:left="26"/>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214</w:t>
            </w:r>
          </w:p>
        </w:tc>
        <w:tc>
          <w:tcPr>
            <w:tcW w:w="281" w:type="dxa"/>
            <w:vAlign w:val="top"/>
          </w:tcPr>
          <w:p>
            <w:pPr>
              <w:spacing w:before="171" w:line="185" w:lineRule="auto"/>
              <w:ind w:left="2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01</w:t>
            </w:r>
          </w:p>
        </w:tc>
        <w:tc>
          <w:tcPr>
            <w:tcW w:w="281" w:type="dxa"/>
            <w:vAlign w:val="top"/>
          </w:tcPr>
          <w:p>
            <w:pPr>
              <w:spacing w:before="171" w:line="185" w:lineRule="auto"/>
              <w:ind w:left="2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04</w:t>
            </w:r>
          </w:p>
        </w:tc>
        <w:tc>
          <w:tcPr>
            <w:tcW w:w="1022" w:type="dxa"/>
            <w:vAlign w:val="center"/>
          </w:tcPr>
          <w:p>
            <w:pPr>
              <w:keepNext w:val="0"/>
              <w:keepLines w:val="0"/>
              <w:widowControl/>
              <w:suppressLineNumbers w:val="0"/>
              <w:ind w:left="0" w:leftChars="0" w:right="0" w:rightChars="0" w:firstLine="0" w:firstLineChars="0"/>
              <w:jc w:val="lef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农村公路建设及养护（春节化债）</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100.00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6" w:hRule="atLeast"/>
        </w:trPr>
        <w:tc>
          <w:tcPr>
            <w:tcW w:w="407" w:type="dxa"/>
            <w:vAlign w:val="top"/>
          </w:tcPr>
          <w:p>
            <w:pPr>
              <w:spacing w:before="171" w:line="186" w:lineRule="auto"/>
              <w:ind w:left="26"/>
              <w:rPr>
                <w:rFonts w:ascii="宋体" w:hAnsi="宋体" w:eastAsia="宋体" w:cs="宋体"/>
                <w:sz w:val="22"/>
                <w:szCs w:val="22"/>
              </w:rPr>
            </w:pPr>
          </w:p>
        </w:tc>
        <w:tc>
          <w:tcPr>
            <w:tcW w:w="281" w:type="dxa"/>
            <w:vAlign w:val="top"/>
          </w:tcPr>
          <w:p>
            <w:pPr>
              <w:spacing w:before="173" w:line="185" w:lineRule="auto"/>
              <w:ind w:left="21"/>
              <w:rPr>
                <w:rFonts w:ascii="宋体" w:hAnsi="宋体" w:eastAsia="宋体" w:cs="宋体"/>
                <w:sz w:val="22"/>
                <w:szCs w:val="22"/>
              </w:rPr>
            </w:pPr>
          </w:p>
        </w:tc>
        <w:tc>
          <w:tcPr>
            <w:tcW w:w="281" w:type="dxa"/>
            <w:vAlign w:val="top"/>
          </w:tcPr>
          <w:p>
            <w:pPr>
              <w:spacing w:before="173" w:line="185" w:lineRule="auto"/>
              <w:ind w:left="21"/>
              <w:rPr>
                <w:rFonts w:ascii="宋体" w:hAnsi="宋体" w:eastAsia="宋体" w:cs="宋体"/>
                <w:sz w:val="22"/>
                <w:szCs w:val="22"/>
              </w:rPr>
            </w:pPr>
          </w:p>
        </w:tc>
        <w:tc>
          <w:tcPr>
            <w:tcW w:w="1022" w:type="dxa"/>
            <w:vAlign w:val="top"/>
          </w:tcPr>
          <w:p>
            <w:pPr>
              <w:spacing w:before="171" w:line="186" w:lineRule="auto"/>
              <w:ind w:left="23"/>
              <w:rPr>
                <w:rFonts w:ascii="宋体" w:hAnsi="宋体" w:eastAsia="宋体" w:cs="宋体"/>
                <w:sz w:val="22"/>
                <w:szCs w:val="22"/>
              </w:rPr>
            </w:pP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车辆购置税用于公路等基础设施建设支出</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30.00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6" w:hRule="atLeast"/>
        </w:trPr>
        <w:tc>
          <w:tcPr>
            <w:tcW w:w="40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1" w:type="dxa"/>
            <w:vAlign w:val="top"/>
          </w:tcPr>
          <w:p>
            <w:pPr>
              <w:spacing w:before="172" w:line="185" w:lineRule="auto"/>
              <w:ind w:left="2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06</w:t>
            </w:r>
          </w:p>
        </w:tc>
        <w:tc>
          <w:tcPr>
            <w:tcW w:w="281" w:type="dxa"/>
            <w:vAlign w:val="top"/>
          </w:tcPr>
          <w:p>
            <w:pPr>
              <w:spacing w:before="172" w:line="185" w:lineRule="auto"/>
              <w:ind w:left="2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01</w:t>
            </w:r>
          </w:p>
        </w:tc>
        <w:tc>
          <w:tcPr>
            <w:tcW w:w="1022" w:type="dxa"/>
            <w:vAlign w:val="top"/>
          </w:tcPr>
          <w:p>
            <w:pPr>
              <w:spacing w:before="170" w:line="186" w:lineRule="auto"/>
              <w:ind w:left="23"/>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512001</w:t>
            </w: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2020年暴雨洪灾第四批补助</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30.00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6" w:hRule="atLeast"/>
        </w:trPr>
        <w:tc>
          <w:tcPr>
            <w:tcW w:w="407" w:type="dxa"/>
            <w:vAlign w:val="top"/>
          </w:tcPr>
          <w:p>
            <w:pPr>
              <w:rPr>
                <w:rFonts w:ascii="Arial"/>
                <w:sz w:val="21"/>
              </w:rPr>
            </w:pPr>
          </w:p>
        </w:tc>
        <w:tc>
          <w:tcPr>
            <w:tcW w:w="281" w:type="dxa"/>
            <w:vAlign w:val="top"/>
          </w:tcPr>
          <w:p>
            <w:pPr>
              <w:rPr>
                <w:rFonts w:ascii="Arial"/>
                <w:sz w:val="21"/>
              </w:rPr>
            </w:pPr>
          </w:p>
        </w:tc>
        <w:tc>
          <w:tcPr>
            <w:tcW w:w="281" w:type="dxa"/>
            <w:vAlign w:val="top"/>
          </w:tcPr>
          <w:p>
            <w:pPr>
              <w:rPr>
                <w:rFonts w:ascii="Arial"/>
                <w:sz w:val="21"/>
              </w:rPr>
            </w:pPr>
          </w:p>
        </w:tc>
        <w:tc>
          <w:tcPr>
            <w:tcW w:w="1022" w:type="dxa"/>
            <w:vAlign w:val="top"/>
          </w:tcPr>
          <w:p>
            <w:pPr>
              <w:rPr>
                <w:rFonts w:ascii="Arial"/>
                <w:sz w:val="21"/>
              </w:rPr>
            </w:pP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车辆购置税用于农村公路建设支出</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563.50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5" w:hRule="atLeast"/>
        </w:trPr>
        <w:tc>
          <w:tcPr>
            <w:tcW w:w="407" w:type="dxa"/>
            <w:vAlign w:val="top"/>
          </w:tcPr>
          <w:p>
            <w:pPr>
              <w:spacing w:before="171" w:line="186" w:lineRule="auto"/>
              <w:ind w:left="26"/>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214</w:t>
            </w:r>
          </w:p>
        </w:tc>
        <w:tc>
          <w:tcPr>
            <w:tcW w:w="281" w:type="dxa"/>
            <w:vAlign w:val="top"/>
          </w:tcPr>
          <w:p>
            <w:pPr>
              <w:spacing w:before="172" w:line="185" w:lineRule="auto"/>
              <w:ind w:left="2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06</w:t>
            </w:r>
          </w:p>
        </w:tc>
        <w:tc>
          <w:tcPr>
            <w:tcW w:w="281" w:type="dxa"/>
            <w:vAlign w:val="top"/>
          </w:tcPr>
          <w:p>
            <w:pPr>
              <w:spacing w:before="172" w:line="185" w:lineRule="auto"/>
              <w:ind w:left="2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02</w:t>
            </w:r>
          </w:p>
        </w:tc>
        <w:tc>
          <w:tcPr>
            <w:tcW w:w="1022" w:type="dxa"/>
            <w:vAlign w:val="top"/>
          </w:tcPr>
          <w:p>
            <w:pPr>
              <w:spacing w:before="171" w:line="186" w:lineRule="auto"/>
              <w:ind w:left="23"/>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512001</w:t>
            </w: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2021年普通省道和农村公路加宽</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563.50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6" w:hRule="atLeast"/>
        </w:trPr>
        <w:tc>
          <w:tcPr>
            <w:tcW w:w="407" w:type="dxa"/>
            <w:vAlign w:val="top"/>
          </w:tcPr>
          <w:p>
            <w:pPr>
              <w:spacing w:before="171" w:line="186" w:lineRule="auto"/>
              <w:ind w:left="26"/>
              <w:rPr>
                <w:rFonts w:ascii="宋体" w:hAnsi="宋体" w:eastAsia="宋体" w:cs="宋体"/>
                <w:sz w:val="22"/>
                <w:szCs w:val="22"/>
              </w:rPr>
            </w:pPr>
          </w:p>
        </w:tc>
        <w:tc>
          <w:tcPr>
            <w:tcW w:w="281" w:type="dxa"/>
            <w:vAlign w:val="top"/>
          </w:tcPr>
          <w:p>
            <w:pPr>
              <w:spacing w:before="172" w:line="185" w:lineRule="auto"/>
              <w:ind w:left="21"/>
              <w:rPr>
                <w:rFonts w:ascii="宋体" w:hAnsi="宋体" w:eastAsia="宋体" w:cs="宋体"/>
                <w:sz w:val="22"/>
                <w:szCs w:val="22"/>
              </w:rPr>
            </w:pPr>
          </w:p>
        </w:tc>
        <w:tc>
          <w:tcPr>
            <w:tcW w:w="281" w:type="dxa"/>
            <w:vAlign w:val="top"/>
          </w:tcPr>
          <w:p>
            <w:pPr>
              <w:spacing w:before="172" w:line="185" w:lineRule="auto"/>
              <w:ind w:left="21"/>
              <w:rPr>
                <w:rFonts w:ascii="宋体" w:hAnsi="宋体" w:eastAsia="宋体" w:cs="宋体"/>
                <w:sz w:val="22"/>
                <w:szCs w:val="22"/>
              </w:rPr>
            </w:pPr>
          </w:p>
        </w:tc>
        <w:tc>
          <w:tcPr>
            <w:tcW w:w="1022" w:type="dxa"/>
            <w:vAlign w:val="top"/>
          </w:tcPr>
          <w:p>
            <w:pPr>
              <w:spacing w:before="171" w:line="186" w:lineRule="auto"/>
              <w:ind w:left="23"/>
              <w:rPr>
                <w:rFonts w:ascii="宋体" w:hAnsi="宋体" w:eastAsia="宋体" w:cs="宋体"/>
                <w:sz w:val="22"/>
                <w:szCs w:val="22"/>
              </w:rPr>
            </w:pP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其他交通运输支出</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299.70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6" w:hRule="atLeast"/>
        </w:trPr>
        <w:tc>
          <w:tcPr>
            <w:tcW w:w="40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1" w:type="dxa"/>
            <w:vAlign w:val="top"/>
          </w:tcPr>
          <w:p>
            <w:pPr>
              <w:spacing w:before="173" w:line="185" w:lineRule="auto"/>
              <w:ind w:left="2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99</w:t>
            </w:r>
          </w:p>
        </w:tc>
        <w:tc>
          <w:tcPr>
            <w:tcW w:w="281" w:type="dxa"/>
            <w:vAlign w:val="top"/>
          </w:tcPr>
          <w:p>
            <w:pPr>
              <w:spacing w:before="173" w:line="185" w:lineRule="auto"/>
              <w:ind w:left="2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99</w:t>
            </w:r>
          </w:p>
        </w:tc>
        <w:tc>
          <w:tcPr>
            <w:tcW w:w="1022" w:type="dxa"/>
            <w:vAlign w:val="top"/>
          </w:tcPr>
          <w:p>
            <w:pPr>
              <w:spacing w:before="172" w:line="186" w:lineRule="auto"/>
              <w:ind w:left="23"/>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512001</w:t>
            </w: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高速公路连接线至合兴村中修工程</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298.00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6" w:hRule="atLeast"/>
        </w:trPr>
        <w:tc>
          <w:tcPr>
            <w:tcW w:w="407" w:type="dxa"/>
            <w:vAlign w:val="top"/>
          </w:tcPr>
          <w:p>
            <w:pPr>
              <w:spacing w:before="171" w:line="186" w:lineRule="auto"/>
              <w:ind w:left="26"/>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214</w:t>
            </w:r>
          </w:p>
        </w:tc>
        <w:tc>
          <w:tcPr>
            <w:tcW w:w="281" w:type="dxa"/>
            <w:vAlign w:val="top"/>
          </w:tcPr>
          <w:p>
            <w:pPr>
              <w:spacing w:before="172" w:line="185" w:lineRule="auto"/>
              <w:ind w:left="2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99</w:t>
            </w:r>
          </w:p>
        </w:tc>
        <w:tc>
          <w:tcPr>
            <w:tcW w:w="281" w:type="dxa"/>
            <w:vAlign w:val="top"/>
          </w:tcPr>
          <w:p>
            <w:pPr>
              <w:spacing w:before="172" w:line="185" w:lineRule="auto"/>
              <w:ind w:left="2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99</w:t>
            </w:r>
          </w:p>
        </w:tc>
        <w:tc>
          <w:tcPr>
            <w:tcW w:w="1022" w:type="dxa"/>
            <w:vAlign w:val="top"/>
          </w:tcPr>
          <w:p>
            <w:pPr>
              <w:spacing w:before="171" w:line="186" w:lineRule="auto"/>
              <w:ind w:left="23"/>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512001</w:t>
            </w: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2019年农村客运出租车成品油价格补贴</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1.70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6" w:hRule="atLeast"/>
        </w:trPr>
        <w:tc>
          <w:tcPr>
            <w:tcW w:w="407" w:type="dxa"/>
            <w:vAlign w:val="top"/>
          </w:tcPr>
          <w:p>
            <w:pPr>
              <w:rPr>
                <w:rFonts w:ascii="Arial"/>
                <w:sz w:val="21"/>
              </w:rPr>
            </w:pPr>
          </w:p>
        </w:tc>
        <w:tc>
          <w:tcPr>
            <w:tcW w:w="281" w:type="dxa"/>
            <w:vAlign w:val="top"/>
          </w:tcPr>
          <w:p>
            <w:pPr>
              <w:rPr>
                <w:rFonts w:ascii="Arial"/>
                <w:sz w:val="21"/>
              </w:rPr>
            </w:pPr>
          </w:p>
        </w:tc>
        <w:tc>
          <w:tcPr>
            <w:tcW w:w="281" w:type="dxa"/>
            <w:vAlign w:val="top"/>
          </w:tcPr>
          <w:p>
            <w:pPr>
              <w:rPr>
                <w:rFonts w:ascii="Arial"/>
                <w:sz w:val="21"/>
              </w:rPr>
            </w:pPr>
          </w:p>
        </w:tc>
        <w:tc>
          <w:tcPr>
            <w:tcW w:w="1022" w:type="dxa"/>
            <w:vAlign w:val="top"/>
          </w:tcPr>
          <w:p>
            <w:pPr>
              <w:rPr>
                <w:rFonts w:ascii="Arial"/>
                <w:sz w:val="21"/>
              </w:rPr>
            </w:pP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其他支出</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60.00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6" w:hRule="atLeast"/>
        </w:trPr>
        <w:tc>
          <w:tcPr>
            <w:tcW w:w="40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229</w:t>
            </w:r>
          </w:p>
        </w:tc>
        <w:tc>
          <w:tcPr>
            <w:tcW w:w="281" w:type="dxa"/>
            <w:vAlign w:val="top"/>
          </w:tcPr>
          <w:p>
            <w:pPr>
              <w:spacing w:before="173" w:line="185" w:lineRule="auto"/>
              <w:ind w:left="2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99</w:t>
            </w:r>
          </w:p>
        </w:tc>
        <w:tc>
          <w:tcPr>
            <w:tcW w:w="281" w:type="dxa"/>
            <w:vAlign w:val="top"/>
          </w:tcPr>
          <w:p>
            <w:pPr>
              <w:spacing w:before="173" w:line="185" w:lineRule="auto"/>
              <w:ind w:left="2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99</w:t>
            </w:r>
          </w:p>
        </w:tc>
        <w:tc>
          <w:tcPr>
            <w:tcW w:w="10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大件路改线前期费用</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60.00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6" w:hRule="atLeast"/>
        </w:trPr>
        <w:tc>
          <w:tcPr>
            <w:tcW w:w="407" w:type="dxa"/>
            <w:vAlign w:val="top"/>
          </w:tcPr>
          <w:p>
            <w:pPr>
              <w:spacing w:before="171" w:line="186" w:lineRule="auto"/>
              <w:ind w:left="26"/>
              <w:rPr>
                <w:rFonts w:ascii="宋体" w:hAnsi="宋体" w:eastAsia="宋体" w:cs="宋体"/>
                <w:sz w:val="22"/>
                <w:szCs w:val="22"/>
              </w:rPr>
            </w:pPr>
          </w:p>
        </w:tc>
        <w:tc>
          <w:tcPr>
            <w:tcW w:w="281" w:type="dxa"/>
            <w:vAlign w:val="top"/>
          </w:tcPr>
          <w:p>
            <w:pPr>
              <w:spacing w:before="172" w:line="185" w:lineRule="auto"/>
              <w:ind w:left="21"/>
              <w:rPr>
                <w:rFonts w:ascii="宋体" w:hAnsi="宋体" w:eastAsia="宋体" w:cs="宋体"/>
                <w:sz w:val="22"/>
                <w:szCs w:val="22"/>
              </w:rPr>
            </w:pPr>
          </w:p>
        </w:tc>
        <w:tc>
          <w:tcPr>
            <w:tcW w:w="281" w:type="dxa"/>
            <w:vAlign w:val="top"/>
          </w:tcPr>
          <w:p>
            <w:pPr>
              <w:spacing w:before="172" w:line="185" w:lineRule="auto"/>
              <w:ind w:left="20"/>
              <w:rPr>
                <w:rFonts w:ascii="宋体" w:hAnsi="宋体" w:eastAsia="宋体" w:cs="宋体"/>
                <w:sz w:val="22"/>
                <w:szCs w:val="22"/>
              </w:rPr>
            </w:pPr>
          </w:p>
        </w:tc>
        <w:tc>
          <w:tcPr>
            <w:tcW w:w="1022" w:type="dxa"/>
            <w:vAlign w:val="top"/>
          </w:tcPr>
          <w:p>
            <w:pPr>
              <w:spacing w:before="171" w:line="186" w:lineRule="auto"/>
              <w:ind w:left="23"/>
              <w:rPr>
                <w:rFonts w:ascii="宋体" w:hAnsi="宋体" w:eastAsia="宋体" w:cs="宋体"/>
                <w:sz w:val="22"/>
                <w:szCs w:val="22"/>
              </w:rPr>
            </w:pP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夹江县公路建设服务中心</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550.53</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8" w:hRule="atLeast"/>
        </w:trPr>
        <w:tc>
          <w:tcPr>
            <w:tcW w:w="407" w:type="dxa"/>
            <w:vAlign w:val="top"/>
          </w:tcPr>
          <w:p>
            <w:pPr>
              <w:spacing w:before="172" w:line="186" w:lineRule="auto"/>
              <w:ind w:left="26"/>
              <w:rPr>
                <w:rFonts w:ascii="宋体" w:hAnsi="宋体" w:eastAsia="宋体" w:cs="宋体"/>
                <w:sz w:val="22"/>
                <w:szCs w:val="22"/>
              </w:rPr>
            </w:pPr>
          </w:p>
        </w:tc>
        <w:tc>
          <w:tcPr>
            <w:tcW w:w="281" w:type="dxa"/>
            <w:vAlign w:val="top"/>
          </w:tcPr>
          <w:p>
            <w:pPr>
              <w:spacing w:before="173" w:line="185" w:lineRule="auto"/>
              <w:ind w:left="21"/>
              <w:rPr>
                <w:rFonts w:ascii="宋体" w:hAnsi="宋体" w:eastAsia="宋体" w:cs="宋体"/>
                <w:sz w:val="22"/>
                <w:szCs w:val="22"/>
              </w:rPr>
            </w:pPr>
          </w:p>
        </w:tc>
        <w:tc>
          <w:tcPr>
            <w:tcW w:w="281" w:type="dxa"/>
            <w:vAlign w:val="top"/>
          </w:tcPr>
          <w:p>
            <w:pPr>
              <w:spacing w:before="173" w:line="185" w:lineRule="auto"/>
              <w:ind w:left="20"/>
              <w:rPr>
                <w:rFonts w:ascii="宋体" w:hAnsi="宋体" w:eastAsia="宋体" w:cs="宋体"/>
                <w:sz w:val="22"/>
                <w:szCs w:val="22"/>
              </w:rPr>
            </w:pPr>
          </w:p>
        </w:tc>
        <w:tc>
          <w:tcPr>
            <w:tcW w:w="1022" w:type="dxa"/>
            <w:vAlign w:val="top"/>
          </w:tcPr>
          <w:p>
            <w:pPr>
              <w:spacing w:before="172" w:line="186" w:lineRule="auto"/>
              <w:ind w:left="23"/>
              <w:rPr>
                <w:rFonts w:ascii="宋体" w:hAnsi="宋体" w:eastAsia="宋体" w:cs="宋体"/>
                <w:sz w:val="22"/>
                <w:szCs w:val="22"/>
              </w:rPr>
            </w:pP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公路养护</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550.53</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8" w:hRule="atLeast"/>
        </w:trPr>
        <w:tc>
          <w:tcPr>
            <w:tcW w:w="40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1" w:type="dxa"/>
            <w:vAlign w:val="top"/>
          </w:tcPr>
          <w:p>
            <w:pPr>
              <w:spacing w:before="173" w:line="185" w:lineRule="auto"/>
              <w:ind w:left="2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01</w:t>
            </w:r>
          </w:p>
        </w:tc>
        <w:tc>
          <w:tcPr>
            <w:tcW w:w="281" w:type="dxa"/>
            <w:vAlign w:val="top"/>
          </w:tcPr>
          <w:p>
            <w:pPr>
              <w:spacing w:before="173" w:line="185" w:lineRule="auto"/>
              <w:ind w:left="2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06</w:t>
            </w:r>
          </w:p>
        </w:tc>
        <w:tc>
          <w:tcPr>
            <w:tcW w:w="10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512002</w:t>
            </w: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2021年度第一批省级财政交通专项资金【乐市财政建（2021）28号】结余</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8.21</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8" w:hRule="atLeast"/>
        </w:trPr>
        <w:tc>
          <w:tcPr>
            <w:tcW w:w="407" w:type="dxa"/>
            <w:vAlign w:val="top"/>
          </w:tcPr>
          <w:p>
            <w:pPr>
              <w:spacing w:before="172" w:line="186" w:lineRule="auto"/>
              <w:ind w:left="26"/>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214</w:t>
            </w:r>
          </w:p>
        </w:tc>
        <w:tc>
          <w:tcPr>
            <w:tcW w:w="281" w:type="dxa"/>
            <w:vAlign w:val="top"/>
          </w:tcPr>
          <w:p>
            <w:pPr>
              <w:spacing w:before="173" w:line="185" w:lineRule="auto"/>
              <w:ind w:left="2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01</w:t>
            </w:r>
          </w:p>
        </w:tc>
        <w:tc>
          <w:tcPr>
            <w:tcW w:w="281" w:type="dxa"/>
            <w:vAlign w:val="top"/>
          </w:tcPr>
          <w:p>
            <w:pPr>
              <w:spacing w:before="173" w:line="185" w:lineRule="auto"/>
              <w:ind w:left="2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06</w:t>
            </w:r>
          </w:p>
        </w:tc>
        <w:tc>
          <w:tcPr>
            <w:tcW w:w="10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512002</w:t>
            </w: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2020年普通国省干线公路养护管理检查考核资金</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92.32</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8" w:hRule="atLeast"/>
        </w:trPr>
        <w:tc>
          <w:tcPr>
            <w:tcW w:w="407" w:type="dxa"/>
            <w:vAlign w:val="top"/>
          </w:tcPr>
          <w:p>
            <w:pPr>
              <w:spacing w:before="172" w:line="186" w:lineRule="auto"/>
              <w:ind w:left="26"/>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214</w:t>
            </w:r>
          </w:p>
        </w:tc>
        <w:tc>
          <w:tcPr>
            <w:tcW w:w="281" w:type="dxa"/>
            <w:vAlign w:val="top"/>
          </w:tcPr>
          <w:p>
            <w:pPr>
              <w:spacing w:before="173" w:line="185" w:lineRule="auto"/>
              <w:ind w:left="21"/>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01</w:t>
            </w:r>
          </w:p>
        </w:tc>
        <w:tc>
          <w:tcPr>
            <w:tcW w:w="281" w:type="dxa"/>
            <w:vAlign w:val="top"/>
          </w:tcPr>
          <w:p>
            <w:pPr>
              <w:spacing w:before="173" w:line="185" w:lineRule="auto"/>
              <w:ind w:left="2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016</w:t>
            </w:r>
          </w:p>
        </w:tc>
        <w:tc>
          <w:tcPr>
            <w:tcW w:w="102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512002</w:t>
            </w: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国省县道公路小修保养费</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450.00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8" w:hRule="atLeast"/>
        </w:trPr>
        <w:tc>
          <w:tcPr>
            <w:tcW w:w="407" w:type="dxa"/>
            <w:vAlign w:val="top"/>
          </w:tcPr>
          <w:p>
            <w:pPr>
              <w:spacing w:before="172" w:line="186" w:lineRule="auto"/>
              <w:ind w:left="26"/>
              <w:rPr>
                <w:rFonts w:hint="eastAsia" w:ascii="宋体" w:hAnsi="宋体" w:eastAsia="宋体" w:cs="宋体"/>
                <w:sz w:val="22"/>
                <w:szCs w:val="22"/>
                <w:lang w:val="en-US" w:eastAsia="zh-CN"/>
              </w:rPr>
            </w:pPr>
          </w:p>
        </w:tc>
        <w:tc>
          <w:tcPr>
            <w:tcW w:w="281" w:type="dxa"/>
            <w:vAlign w:val="top"/>
          </w:tcPr>
          <w:p>
            <w:pPr>
              <w:spacing w:before="173" w:line="185" w:lineRule="auto"/>
              <w:ind w:left="21"/>
              <w:rPr>
                <w:rFonts w:hint="eastAsia" w:ascii="宋体" w:hAnsi="宋体" w:eastAsia="宋体" w:cs="宋体"/>
                <w:sz w:val="22"/>
                <w:szCs w:val="22"/>
                <w:lang w:val="en-US" w:eastAsia="zh-CN"/>
              </w:rPr>
            </w:pPr>
          </w:p>
        </w:tc>
        <w:tc>
          <w:tcPr>
            <w:tcW w:w="281" w:type="dxa"/>
            <w:vAlign w:val="top"/>
          </w:tcPr>
          <w:p>
            <w:pPr>
              <w:spacing w:before="173" w:line="185" w:lineRule="auto"/>
              <w:ind w:left="20"/>
              <w:rPr>
                <w:rFonts w:hint="eastAsia" w:ascii="宋体" w:hAnsi="宋体" w:eastAsia="宋体" w:cs="宋体"/>
                <w:sz w:val="22"/>
                <w:szCs w:val="22"/>
                <w:lang w:val="en-US" w:eastAsia="zh-CN"/>
              </w:rPr>
            </w:pPr>
          </w:p>
        </w:tc>
        <w:tc>
          <w:tcPr>
            <w:tcW w:w="1022" w:type="dxa"/>
            <w:vAlign w:val="top"/>
          </w:tcPr>
          <w:p>
            <w:pPr>
              <w:spacing w:before="172" w:line="186" w:lineRule="auto"/>
              <w:ind w:left="23"/>
              <w:rPr>
                <w:rFonts w:ascii="宋体" w:hAnsi="宋体" w:eastAsia="宋体" w:cs="宋体"/>
                <w:sz w:val="22"/>
                <w:szCs w:val="22"/>
              </w:rPr>
            </w:pP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夹江县运输中心</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18.18</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8" w:hRule="atLeast"/>
        </w:trPr>
        <w:tc>
          <w:tcPr>
            <w:tcW w:w="407" w:type="dxa"/>
            <w:vAlign w:val="top"/>
          </w:tcPr>
          <w:p>
            <w:pPr>
              <w:spacing w:before="172" w:line="186" w:lineRule="auto"/>
              <w:ind w:left="26"/>
              <w:rPr>
                <w:rFonts w:hint="eastAsia" w:ascii="宋体" w:hAnsi="宋体" w:eastAsia="宋体" w:cs="宋体"/>
                <w:sz w:val="22"/>
                <w:szCs w:val="22"/>
                <w:lang w:val="en-US" w:eastAsia="zh-CN"/>
              </w:rPr>
            </w:pPr>
          </w:p>
        </w:tc>
        <w:tc>
          <w:tcPr>
            <w:tcW w:w="281" w:type="dxa"/>
            <w:vAlign w:val="top"/>
          </w:tcPr>
          <w:p>
            <w:pPr>
              <w:spacing w:before="173" w:line="185" w:lineRule="auto"/>
              <w:ind w:left="21"/>
              <w:rPr>
                <w:rFonts w:hint="eastAsia" w:ascii="宋体" w:hAnsi="宋体" w:eastAsia="宋体" w:cs="宋体"/>
                <w:sz w:val="22"/>
                <w:szCs w:val="22"/>
                <w:lang w:val="en-US" w:eastAsia="zh-CN"/>
              </w:rPr>
            </w:pPr>
          </w:p>
        </w:tc>
        <w:tc>
          <w:tcPr>
            <w:tcW w:w="281" w:type="dxa"/>
            <w:vAlign w:val="top"/>
          </w:tcPr>
          <w:p>
            <w:pPr>
              <w:spacing w:before="173" w:line="185" w:lineRule="auto"/>
              <w:ind w:left="20"/>
              <w:rPr>
                <w:rFonts w:hint="eastAsia" w:ascii="宋体" w:hAnsi="宋体" w:eastAsia="宋体" w:cs="宋体"/>
                <w:sz w:val="22"/>
                <w:szCs w:val="22"/>
                <w:lang w:val="en-US" w:eastAsia="zh-CN"/>
              </w:rPr>
            </w:pPr>
          </w:p>
        </w:tc>
        <w:tc>
          <w:tcPr>
            <w:tcW w:w="1022" w:type="dxa"/>
            <w:vAlign w:val="top"/>
          </w:tcPr>
          <w:p>
            <w:pPr>
              <w:spacing w:before="172" w:line="186" w:lineRule="auto"/>
              <w:ind w:left="23"/>
              <w:rPr>
                <w:rFonts w:ascii="宋体" w:hAnsi="宋体" w:eastAsia="宋体" w:cs="宋体"/>
                <w:sz w:val="22"/>
                <w:szCs w:val="22"/>
              </w:rPr>
            </w:pP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公路运输管理</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18.18</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78" w:hRule="atLeast"/>
        </w:trPr>
        <w:tc>
          <w:tcPr>
            <w:tcW w:w="40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2"/>
                <w:szCs w:val="22"/>
                <w:lang w:val="en-US" w:eastAsia="zh-CN"/>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2"/>
                <w:szCs w:val="22"/>
                <w:lang w:val="en-US" w:eastAsia="zh-CN"/>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28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2"/>
                <w:szCs w:val="22"/>
                <w:lang w:val="en-US" w:eastAsia="zh-CN"/>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w:t>
            </w:r>
          </w:p>
        </w:tc>
        <w:tc>
          <w:tcPr>
            <w:tcW w:w="1022" w:type="dxa"/>
            <w:vAlign w:val="center"/>
          </w:tcPr>
          <w:p>
            <w:pPr>
              <w:keepNext w:val="0"/>
              <w:keepLines w:val="0"/>
              <w:widowControl/>
              <w:suppressLineNumbers w:val="0"/>
              <w:ind w:left="0" w:leftChars="0" w:right="0" w:rightChars="0" w:firstLine="0" w:firstLineChars="0"/>
              <w:jc w:val="lef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512003</w:t>
            </w: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临聘人员工资保险</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18.18</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8" w:hRule="atLeast"/>
        </w:trPr>
        <w:tc>
          <w:tcPr>
            <w:tcW w:w="407" w:type="dxa"/>
            <w:vAlign w:val="center"/>
          </w:tcPr>
          <w:p>
            <w:pPr>
              <w:jc w:val="left"/>
              <w:rPr>
                <w:rFonts w:hint="eastAsia" w:ascii="宋体" w:hAnsi="宋体" w:eastAsia="宋体" w:cs="宋体"/>
                <w:sz w:val="22"/>
                <w:szCs w:val="22"/>
                <w:lang w:val="en-US" w:eastAsia="zh-CN"/>
              </w:rPr>
            </w:pPr>
          </w:p>
        </w:tc>
        <w:tc>
          <w:tcPr>
            <w:tcW w:w="281" w:type="dxa"/>
            <w:vAlign w:val="center"/>
          </w:tcPr>
          <w:p>
            <w:pPr>
              <w:jc w:val="left"/>
              <w:rPr>
                <w:rFonts w:hint="eastAsia" w:ascii="宋体" w:hAnsi="宋体" w:eastAsia="宋体" w:cs="宋体"/>
                <w:sz w:val="22"/>
                <w:szCs w:val="22"/>
                <w:lang w:val="en-US" w:eastAsia="zh-CN"/>
              </w:rPr>
            </w:pPr>
          </w:p>
        </w:tc>
        <w:tc>
          <w:tcPr>
            <w:tcW w:w="281" w:type="dxa"/>
            <w:vAlign w:val="center"/>
          </w:tcPr>
          <w:p>
            <w:pPr>
              <w:jc w:val="left"/>
              <w:rPr>
                <w:rFonts w:hint="eastAsia" w:ascii="宋体" w:hAnsi="宋体" w:eastAsia="宋体" w:cs="宋体"/>
                <w:sz w:val="22"/>
                <w:szCs w:val="22"/>
                <w:lang w:val="en-US" w:eastAsia="zh-CN"/>
              </w:rPr>
            </w:pPr>
          </w:p>
        </w:tc>
        <w:tc>
          <w:tcPr>
            <w:tcW w:w="1022" w:type="dxa"/>
            <w:vAlign w:val="center"/>
          </w:tcPr>
          <w:p>
            <w:pPr>
              <w:jc w:val="left"/>
              <w:rPr>
                <w:rFonts w:ascii="宋体" w:hAnsi="宋体" w:eastAsia="宋体" w:cs="宋体"/>
                <w:sz w:val="22"/>
                <w:szCs w:val="22"/>
              </w:rPr>
            </w:pP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夹江县交通运输综合行政执法大队</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98.29</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8" w:hRule="atLeast"/>
        </w:trPr>
        <w:tc>
          <w:tcPr>
            <w:tcW w:w="407" w:type="dxa"/>
            <w:vAlign w:val="center"/>
          </w:tcPr>
          <w:p>
            <w:pPr>
              <w:jc w:val="left"/>
              <w:rPr>
                <w:rFonts w:hint="eastAsia" w:ascii="宋体" w:hAnsi="宋体" w:eastAsia="宋体" w:cs="宋体"/>
                <w:sz w:val="22"/>
                <w:szCs w:val="22"/>
                <w:lang w:val="en-US" w:eastAsia="zh-CN"/>
              </w:rPr>
            </w:pPr>
          </w:p>
        </w:tc>
        <w:tc>
          <w:tcPr>
            <w:tcW w:w="281" w:type="dxa"/>
            <w:vAlign w:val="center"/>
          </w:tcPr>
          <w:p>
            <w:pPr>
              <w:jc w:val="left"/>
              <w:rPr>
                <w:rFonts w:hint="eastAsia" w:ascii="宋体" w:hAnsi="宋体" w:eastAsia="宋体" w:cs="宋体"/>
                <w:sz w:val="22"/>
                <w:szCs w:val="22"/>
                <w:lang w:val="en-US" w:eastAsia="zh-CN"/>
              </w:rPr>
            </w:pPr>
          </w:p>
        </w:tc>
        <w:tc>
          <w:tcPr>
            <w:tcW w:w="281" w:type="dxa"/>
            <w:vAlign w:val="center"/>
          </w:tcPr>
          <w:p>
            <w:pPr>
              <w:jc w:val="left"/>
              <w:rPr>
                <w:rFonts w:hint="eastAsia" w:ascii="宋体" w:hAnsi="宋体" w:eastAsia="宋体" w:cs="宋体"/>
                <w:sz w:val="22"/>
                <w:szCs w:val="22"/>
                <w:lang w:val="en-US" w:eastAsia="zh-CN"/>
              </w:rPr>
            </w:pPr>
          </w:p>
        </w:tc>
        <w:tc>
          <w:tcPr>
            <w:tcW w:w="1022" w:type="dxa"/>
            <w:vAlign w:val="center"/>
          </w:tcPr>
          <w:p>
            <w:pPr>
              <w:jc w:val="left"/>
              <w:rPr>
                <w:rFonts w:ascii="宋体" w:hAnsi="宋体" w:eastAsia="宋体" w:cs="宋体"/>
                <w:sz w:val="22"/>
                <w:szCs w:val="22"/>
              </w:rPr>
            </w:pP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公路运输管理</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98.29</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8" w:hRule="atLeast"/>
        </w:trPr>
        <w:tc>
          <w:tcPr>
            <w:tcW w:w="40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2"/>
                <w:szCs w:val="22"/>
                <w:lang w:val="en-US" w:eastAsia="zh-CN"/>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2"/>
                <w:szCs w:val="22"/>
                <w:lang w:val="en-US" w:eastAsia="zh-CN"/>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28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2"/>
                <w:szCs w:val="22"/>
                <w:lang w:val="en-US" w:eastAsia="zh-CN"/>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w:t>
            </w:r>
          </w:p>
        </w:tc>
        <w:tc>
          <w:tcPr>
            <w:tcW w:w="1022" w:type="dxa"/>
            <w:vAlign w:val="center"/>
          </w:tcPr>
          <w:p>
            <w:pPr>
              <w:keepNext w:val="0"/>
              <w:keepLines w:val="0"/>
              <w:widowControl/>
              <w:suppressLineNumbers w:val="0"/>
              <w:ind w:left="0" w:leftChars="0" w:right="0" w:rightChars="0" w:firstLine="0" w:firstLineChars="0"/>
              <w:jc w:val="lef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512004</w:t>
            </w: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超限站运行经费</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20.00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gridAfter w:val="1"/>
          <w:wAfter w:w="1761" w:type="dxa"/>
          <w:trHeight w:val="478" w:hRule="atLeast"/>
        </w:trPr>
        <w:tc>
          <w:tcPr>
            <w:tcW w:w="40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2"/>
                <w:szCs w:val="22"/>
                <w:lang w:val="en-US" w:eastAsia="zh-CN"/>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214</w:t>
            </w:r>
          </w:p>
        </w:tc>
        <w:tc>
          <w:tcPr>
            <w:tcW w:w="28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2"/>
                <w:szCs w:val="22"/>
                <w:lang w:val="en-US" w:eastAsia="zh-CN"/>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01</w:t>
            </w:r>
          </w:p>
        </w:tc>
        <w:tc>
          <w:tcPr>
            <w:tcW w:w="28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2"/>
                <w:szCs w:val="22"/>
                <w:lang w:val="en-US" w:eastAsia="zh-CN"/>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w:t>
            </w:r>
          </w:p>
        </w:tc>
        <w:tc>
          <w:tcPr>
            <w:tcW w:w="1022" w:type="dxa"/>
            <w:vAlign w:val="center"/>
          </w:tcPr>
          <w:p>
            <w:pPr>
              <w:keepNext w:val="0"/>
              <w:keepLines w:val="0"/>
              <w:widowControl/>
              <w:suppressLineNumbers w:val="0"/>
              <w:ind w:left="0" w:leftChars="0" w:right="0" w:rightChars="0" w:firstLine="0" w:firstLineChars="0"/>
              <w:jc w:val="lef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512004</w:t>
            </w:r>
          </w:p>
        </w:tc>
        <w:tc>
          <w:tcPr>
            <w:tcW w:w="4588"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路政队安置编外人员工资保险</w:t>
            </w:r>
          </w:p>
        </w:tc>
        <w:tc>
          <w:tcPr>
            <w:tcW w:w="1761"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78.29</w:t>
            </w:r>
          </w:p>
        </w:tc>
      </w:tr>
    </w:tbl>
    <w:p>
      <w:pPr>
        <w:rPr>
          <w:rFonts w:ascii="Arial"/>
          <w:sz w:val="21"/>
        </w:rPr>
      </w:pPr>
    </w:p>
    <w:p>
      <w:pPr>
        <w:spacing w:line="91" w:lineRule="auto"/>
        <w:rPr>
          <w:rFonts w:ascii="Arial"/>
          <w:sz w:val="2"/>
        </w:rPr>
      </w:pPr>
    </w:p>
    <w:p>
      <w:pPr>
        <w:rPr>
          <w:rFonts w:ascii="Arial"/>
          <w:sz w:val="21"/>
        </w:rPr>
      </w:pPr>
    </w:p>
    <w:p>
      <w:pPr>
        <w:sectPr>
          <w:footerReference r:id="rId23" w:type="default"/>
          <w:pgSz w:w="11906" w:h="16839"/>
          <w:pgMar w:top="1431" w:right="1780" w:bottom="855" w:left="1780" w:header="0" w:footer="575" w:gutter="0"/>
          <w:cols w:space="720" w:num="1"/>
        </w:sectPr>
      </w:pPr>
    </w:p>
    <w:p>
      <w:pPr>
        <w:spacing w:line="245" w:lineRule="auto"/>
        <w:rPr>
          <w:rFonts w:ascii="Arial"/>
          <w:sz w:val="21"/>
        </w:rPr>
      </w:pPr>
    </w:p>
    <w:p>
      <w:pPr>
        <w:spacing w:line="246" w:lineRule="auto"/>
        <w:rPr>
          <w:rFonts w:ascii="Arial"/>
          <w:sz w:val="21"/>
        </w:rPr>
      </w:pPr>
    </w:p>
    <w:p>
      <w:pPr>
        <w:spacing w:before="72" w:line="212" w:lineRule="auto"/>
        <w:ind w:right="28"/>
        <w:jc w:val="right"/>
        <w:rPr>
          <w:rFonts w:ascii="宋体" w:hAnsi="宋体" w:eastAsia="宋体" w:cs="宋体"/>
          <w:sz w:val="22"/>
          <w:szCs w:val="22"/>
        </w:rPr>
      </w:pPr>
      <w:r>
        <w:rPr>
          <w:rFonts w:ascii="宋体" w:hAnsi="宋体" w:eastAsia="宋体" w:cs="宋体"/>
          <w:spacing w:val="-5"/>
          <w:sz w:val="22"/>
          <w:szCs w:val="22"/>
        </w:rPr>
        <w:t>公开表 3-3</w:t>
      </w:r>
    </w:p>
    <w:tbl>
      <w:tblPr>
        <w:tblStyle w:val="30"/>
        <w:tblW w:w="8340" w:type="dxa"/>
        <w:tblInd w:w="2" w:type="dxa"/>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
      <w:tblGrid>
        <w:gridCol w:w="732"/>
        <w:gridCol w:w="1431"/>
        <w:gridCol w:w="763"/>
        <w:gridCol w:w="959"/>
        <w:gridCol w:w="795"/>
        <w:gridCol w:w="1244"/>
        <w:gridCol w:w="1229"/>
        <w:gridCol w:w="1187"/>
      </w:tblGrid>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92" w:hRule="atLeast"/>
        </w:trPr>
        <w:tc>
          <w:tcPr>
            <w:tcW w:w="8340" w:type="dxa"/>
            <w:gridSpan w:val="8"/>
            <w:tcBorders>
              <w:top w:val="single" w:color="FFFFFF" w:sz="2" w:space="0"/>
              <w:left w:val="single" w:color="FFFFFF" w:sz="2" w:space="0"/>
              <w:bottom w:val="nil"/>
              <w:right w:val="single" w:color="FFFFFF" w:sz="2" w:space="0"/>
            </w:tcBorders>
            <w:vAlign w:val="top"/>
          </w:tcPr>
          <w:p>
            <w:pPr>
              <w:spacing w:before="174" w:line="417" w:lineRule="exact"/>
              <w:ind w:left="1455"/>
              <w:rPr>
                <w:rFonts w:ascii="宋体" w:hAnsi="宋体" w:eastAsia="宋体" w:cs="宋体"/>
                <w:sz w:val="31"/>
                <w:szCs w:val="31"/>
              </w:rPr>
            </w:pPr>
            <w:r>
              <w:rPr>
                <w:rFonts w:ascii="宋体" w:hAnsi="宋体" w:eastAsia="宋体" w:cs="宋体"/>
                <w:spacing w:val="12"/>
                <w:position w:val="-1"/>
                <w:sz w:val="31"/>
                <w:szCs w:val="31"/>
                <w14:textOutline w14:w="5793" w14:cap="sq" w14:cmpd="sng">
                  <w14:solidFill>
                    <w14:srgbClr w14:val="000000"/>
                  </w14:solidFill>
                  <w14:prstDash w14:val="solid"/>
                  <w14:bevel/>
                </w14:textOutline>
              </w:rPr>
              <w:t>一</w:t>
            </w:r>
            <w:r>
              <w:rPr>
                <w:rFonts w:ascii="宋体" w:hAnsi="宋体" w:eastAsia="宋体" w:cs="宋体"/>
                <w:spacing w:val="10"/>
                <w:position w:val="-1"/>
                <w:sz w:val="31"/>
                <w:szCs w:val="31"/>
                <w14:textOutline w14:w="5793" w14:cap="sq" w14:cmpd="sng">
                  <w14:solidFill>
                    <w14:srgbClr w14:val="000000"/>
                  </w14:solidFill>
                  <w14:prstDash w14:val="solid"/>
                  <w14:bevel/>
                </w14:textOutline>
              </w:rPr>
              <w:t>般公共预算“三公”经费支出预算表</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368" w:hRule="atLeast"/>
        </w:trPr>
        <w:tc>
          <w:tcPr>
            <w:tcW w:w="2926" w:type="dxa"/>
            <w:gridSpan w:val="3"/>
            <w:tcBorders>
              <w:top w:val="nil"/>
              <w:left w:val="single" w:color="FFFFFF" w:sz="2" w:space="0"/>
              <w:right w:val="nil"/>
            </w:tcBorders>
            <w:vAlign w:val="top"/>
          </w:tcPr>
          <w:p>
            <w:pPr>
              <w:spacing w:before="98" w:line="222" w:lineRule="auto"/>
              <w:ind w:left="25"/>
              <w:rPr>
                <w:rFonts w:hint="eastAsia" w:ascii="宋体" w:hAnsi="宋体" w:eastAsia="宋体" w:cs="宋体"/>
                <w:sz w:val="22"/>
                <w:szCs w:val="22"/>
                <w:lang w:eastAsia="zh-CN"/>
              </w:rPr>
            </w:pPr>
            <w:r>
              <w:rPr>
                <w:rFonts w:ascii="宋体" w:hAnsi="宋体" w:eastAsia="宋体" w:cs="宋体"/>
                <w:spacing w:val="-1"/>
                <w:sz w:val="22"/>
                <w:szCs w:val="22"/>
              </w:rPr>
              <w:t>单位：</w:t>
            </w:r>
            <w:r>
              <w:rPr>
                <w:rFonts w:hint="eastAsia" w:ascii="宋体" w:hAnsi="宋体" w:eastAsia="宋体" w:cs="宋体"/>
                <w:spacing w:val="-1"/>
                <w:sz w:val="22"/>
                <w:szCs w:val="22"/>
                <w:lang w:eastAsia="zh-CN"/>
              </w:rPr>
              <w:t>夹江县交通运输局</w:t>
            </w:r>
          </w:p>
        </w:tc>
        <w:tc>
          <w:tcPr>
            <w:tcW w:w="5414" w:type="dxa"/>
            <w:gridSpan w:val="5"/>
            <w:tcBorders>
              <w:top w:val="nil"/>
              <w:left w:val="nil"/>
              <w:right w:val="single" w:color="FFFFFF" w:sz="2" w:space="0"/>
            </w:tcBorders>
            <w:vAlign w:val="top"/>
          </w:tcPr>
          <w:p>
            <w:pPr>
              <w:spacing w:before="98" w:line="221" w:lineRule="auto"/>
              <w:ind w:right="179"/>
              <w:jc w:val="right"/>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07" w:hRule="atLeast"/>
        </w:trPr>
        <w:tc>
          <w:tcPr>
            <w:tcW w:w="732" w:type="dxa"/>
            <w:vMerge w:val="restart"/>
            <w:tcBorders>
              <w:bottom w:val="nil"/>
            </w:tcBorders>
            <w:shd w:val="clear" w:color="auto" w:fill="EFF2F7"/>
            <w:vAlign w:val="top"/>
          </w:tcPr>
          <w:p>
            <w:pPr>
              <w:spacing w:line="250" w:lineRule="auto"/>
              <w:rPr>
                <w:rFonts w:ascii="Arial"/>
                <w:sz w:val="21"/>
              </w:rPr>
            </w:pPr>
          </w:p>
          <w:p>
            <w:pPr>
              <w:spacing w:line="251" w:lineRule="auto"/>
              <w:rPr>
                <w:rFonts w:ascii="Arial"/>
                <w:sz w:val="21"/>
              </w:rPr>
            </w:pPr>
          </w:p>
          <w:p>
            <w:pPr>
              <w:spacing w:before="71" w:line="277" w:lineRule="auto"/>
              <w:ind w:left="262" w:right="30" w:hanging="218"/>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单</w:t>
            </w:r>
            <w:r>
              <w:rPr>
                <w:rFonts w:ascii="宋体" w:hAnsi="宋体" w:eastAsia="宋体" w:cs="宋体"/>
                <w:spacing w:val="-2"/>
                <w:sz w:val="22"/>
                <w:szCs w:val="22"/>
                <w14:textOutline w14:w="4013" w14:cap="sq" w14:cmpd="sng">
                  <w14:solidFill>
                    <w14:srgbClr w14:val="000000"/>
                  </w14:solidFill>
                  <w14:prstDash w14:val="solid"/>
                  <w14:bevel/>
                </w14:textOutline>
              </w:rPr>
              <w:t>位编</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码</w:t>
            </w:r>
          </w:p>
        </w:tc>
        <w:tc>
          <w:tcPr>
            <w:tcW w:w="1431" w:type="dxa"/>
            <w:vMerge w:val="restart"/>
            <w:tcBorders>
              <w:bottom w:val="nil"/>
            </w:tcBorders>
            <w:shd w:val="clear" w:color="auto" w:fill="EFF2F7"/>
            <w:vAlign w:val="top"/>
          </w:tcPr>
          <w:p>
            <w:pPr>
              <w:spacing w:line="250" w:lineRule="auto"/>
              <w:rPr>
                <w:rFonts w:ascii="Arial"/>
                <w:sz w:val="21"/>
              </w:rPr>
            </w:pPr>
          </w:p>
          <w:p>
            <w:pPr>
              <w:spacing w:line="250" w:lineRule="auto"/>
              <w:rPr>
                <w:rFonts w:ascii="Arial"/>
                <w:sz w:val="21"/>
              </w:rPr>
            </w:pPr>
          </w:p>
          <w:p>
            <w:pPr>
              <w:spacing w:before="71" w:line="277" w:lineRule="auto"/>
              <w:ind w:left="543" w:right="50" w:hanging="482"/>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单位名称</w:t>
            </w:r>
            <w:r>
              <w:rPr>
                <w:rFonts w:ascii="宋体" w:hAnsi="宋体" w:eastAsia="宋体" w:cs="宋体"/>
                <w:spacing w:val="-1"/>
                <w:sz w:val="22"/>
                <w:szCs w:val="22"/>
              </w:rPr>
              <w:t xml:space="preserve"> </w:t>
            </w:r>
            <w:r>
              <w:rPr>
                <w:rFonts w:ascii="宋体" w:hAnsi="宋体" w:eastAsia="宋体" w:cs="宋体"/>
                <w:spacing w:val="-1"/>
                <w:sz w:val="22"/>
                <w:szCs w:val="22"/>
                <w14:textOutline w14:w="4013" w14:cap="sq" w14:cmpd="sng">
                  <w14:solidFill>
                    <w14:srgbClr w14:val="000000"/>
                  </w14:solidFill>
                  <w14:prstDash w14:val="solid"/>
                  <w14:bevel/>
                </w14:textOutline>
              </w:rPr>
              <w:t>(</w:t>
            </w:r>
            <w:r>
              <w:rPr>
                <w:rFonts w:ascii="宋体" w:hAnsi="宋体" w:eastAsia="宋体" w:cs="宋体"/>
                <w:sz w:val="22"/>
                <w:szCs w:val="22"/>
                <w14:textOutline w14:w="4013" w14:cap="sq" w14:cmpd="sng">
                  <w14:solidFill>
                    <w14:srgbClr w14:val="000000"/>
                  </w14:solidFill>
                  <w14:prstDash w14:val="solid"/>
                  <w14:bevel/>
                </w14:textOutline>
              </w:rPr>
              <w:t>科</w:t>
            </w:r>
            <w:r>
              <w:rPr>
                <w:rFonts w:ascii="宋体" w:hAnsi="宋体" w:eastAsia="宋体" w:cs="宋体"/>
                <w:sz w:val="22"/>
                <w:szCs w:val="22"/>
              </w:rPr>
              <w:t xml:space="preserve"> </w:t>
            </w:r>
            <w:r>
              <w:rPr>
                <w:rFonts w:ascii="宋体" w:hAnsi="宋体" w:eastAsia="宋体" w:cs="宋体"/>
                <w:spacing w:val="-9"/>
                <w:sz w:val="22"/>
                <w:szCs w:val="22"/>
                <w14:textOutline w14:w="4013" w14:cap="sq" w14:cmpd="sng">
                  <w14:solidFill>
                    <w14:srgbClr w14:val="000000"/>
                  </w14:solidFill>
                  <w14:prstDash w14:val="solid"/>
                  <w14:bevel/>
                </w14:textOutline>
              </w:rPr>
              <w:t>目)</w:t>
            </w:r>
          </w:p>
        </w:tc>
        <w:tc>
          <w:tcPr>
            <w:tcW w:w="6177" w:type="dxa"/>
            <w:gridSpan w:val="6"/>
            <w:shd w:val="clear" w:color="auto" w:fill="EFF2F7"/>
            <w:vAlign w:val="top"/>
          </w:tcPr>
          <w:p>
            <w:pPr>
              <w:spacing w:before="150" w:line="221" w:lineRule="auto"/>
              <w:ind w:left="2007"/>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当年财政拨</w:t>
            </w:r>
            <w:r>
              <w:rPr>
                <w:rFonts w:ascii="宋体" w:hAnsi="宋体" w:eastAsia="宋体" w:cs="宋体"/>
                <w:spacing w:val="-1"/>
                <w:sz w:val="22"/>
                <w:szCs w:val="22"/>
                <w14:textOutline w14:w="4013" w14:cap="sq" w14:cmpd="sng">
                  <w14:solidFill>
                    <w14:srgbClr w14:val="000000"/>
                  </w14:solidFill>
                  <w14:prstDash w14:val="solid"/>
                  <w14:bevel/>
                </w14:textOutline>
              </w:rPr>
              <w:t>款预算安排</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07" w:hRule="atLeast"/>
        </w:trPr>
        <w:tc>
          <w:tcPr>
            <w:tcW w:w="732" w:type="dxa"/>
            <w:vMerge w:val="continue"/>
            <w:tcBorders>
              <w:top w:val="nil"/>
              <w:bottom w:val="nil"/>
            </w:tcBorders>
            <w:vAlign w:val="top"/>
          </w:tcPr>
          <w:p>
            <w:pPr>
              <w:rPr>
                <w:rFonts w:ascii="Arial"/>
                <w:sz w:val="21"/>
              </w:rPr>
            </w:pPr>
          </w:p>
        </w:tc>
        <w:tc>
          <w:tcPr>
            <w:tcW w:w="1431" w:type="dxa"/>
            <w:vMerge w:val="continue"/>
            <w:tcBorders>
              <w:top w:val="nil"/>
              <w:bottom w:val="nil"/>
            </w:tcBorders>
            <w:vAlign w:val="top"/>
          </w:tcPr>
          <w:p>
            <w:pPr>
              <w:rPr>
                <w:rFonts w:ascii="Arial"/>
                <w:sz w:val="21"/>
              </w:rPr>
            </w:pPr>
          </w:p>
        </w:tc>
        <w:tc>
          <w:tcPr>
            <w:tcW w:w="763" w:type="dxa"/>
            <w:vMerge w:val="restart"/>
            <w:tcBorders>
              <w:bottom w:val="nil"/>
            </w:tcBorders>
            <w:shd w:val="clear" w:color="auto" w:fill="EFF2F7"/>
            <w:vAlign w:val="top"/>
          </w:tcPr>
          <w:p>
            <w:pPr>
              <w:spacing w:line="402" w:lineRule="auto"/>
              <w:rPr>
                <w:rFonts w:ascii="Arial"/>
                <w:sz w:val="21"/>
              </w:rPr>
            </w:pPr>
          </w:p>
          <w:p>
            <w:pPr>
              <w:spacing w:before="71" w:line="222" w:lineRule="auto"/>
              <w:ind w:left="167"/>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959" w:type="dxa"/>
            <w:vMerge w:val="restart"/>
            <w:tcBorders>
              <w:bottom w:val="nil"/>
            </w:tcBorders>
            <w:shd w:val="clear" w:color="auto" w:fill="EFF2F7"/>
            <w:vAlign w:val="top"/>
          </w:tcPr>
          <w:p>
            <w:pPr>
              <w:spacing w:before="163" w:line="224" w:lineRule="auto"/>
              <w:ind w:left="61"/>
              <w:rPr>
                <w:rFonts w:ascii="宋体" w:hAnsi="宋体" w:eastAsia="宋体" w:cs="宋体"/>
                <w:sz w:val="22"/>
                <w:szCs w:val="22"/>
              </w:rPr>
            </w:pPr>
            <w:r>
              <w:rPr>
                <w:rFonts w:ascii="宋体" w:hAnsi="宋体" w:eastAsia="宋体" w:cs="宋体"/>
                <w:spacing w:val="-8"/>
                <w:sz w:val="22"/>
                <w:szCs w:val="22"/>
                <w14:textOutline w14:w="4013" w14:cap="sq" w14:cmpd="sng">
                  <w14:solidFill>
                    <w14:srgbClr w14:val="000000"/>
                  </w14:solidFill>
                  <w14:prstDash w14:val="solid"/>
                  <w14:bevel/>
                </w14:textOutline>
              </w:rPr>
              <w:t>因</w:t>
            </w:r>
            <w:r>
              <w:rPr>
                <w:rFonts w:ascii="宋体" w:hAnsi="宋体" w:eastAsia="宋体" w:cs="宋体"/>
                <w:spacing w:val="-5"/>
                <w:sz w:val="22"/>
                <w:szCs w:val="22"/>
                <w14:textOutline w14:w="4013" w14:cap="sq" w14:cmpd="sng">
                  <w14:solidFill>
                    <w14:srgbClr w14:val="000000"/>
                  </w14:solidFill>
                  <w14:prstDash w14:val="solid"/>
                  <w14:bevel/>
                </w14:textOutline>
              </w:rPr>
              <w:t>公出国</w:t>
            </w:r>
          </w:p>
          <w:p>
            <w:pPr>
              <w:spacing w:before="44" w:line="222" w:lineRule="auto"/>
              <w:ind w:left="51"/>
              <w:rPr>
                <w:rFonts w:ascii="宋体" w:hAnsi="宋体" w:eastAsia="宋体" w:cs="宋体"/>
                <w:sz w:val="22"/>
                <w:szCs w:val="22"/>
              </w:rPr>
            </w:pPr>
            <w:r>
              <w:rPr>
                <w:rFonts w:ascii="宋体" w:hAnsi="宋体" w:eastAsia="宋体" w:cs="宋体"/>
                <w:spacing w:val="26"/>
                <w:sz w:val="22"/>
                <w:szCs w:val="22"/>
                <w14:textOutline w14:w="4013" w14:cap="sq" w14:cmpd="sng">
                  <w14:solidFill>
                    <w14:srgbClr w14:val="000000"/>
                  </w14:solidFill>
                  <w14:prstDash w14:val="solid"/>
                  <w14:bevel/>
                </w14:textOutline>
              </w:rPr>
              <w:t>(</w:t>
            </w:r>
            <w:r>
              <w:rPr>
                <w:rFonts w:ascii="宋体" w:hAnsi="宋体" w:eastAsia="宋体" w:cs="宋体"/>
                <w:spacing w:val="23"/>
                <w:sz w:val="22"/>
                <w:szCs w:val="22"/>
                <w14:textOutline w14:w="4013" w14:cap="sq" w14:cmpd="sng">
                  <w14:solidFill>
                    <w14:srgbClr w14:val="000000"/>
                  </w14:solidFill>
                  <w14:prstDash w14:val="solid"/>
                  <w14:bevel/>
                </w14:textOutline>
              </w:rPr>
              <w:t>境)</w:t>
            </w:r>
            <w:r>
              <w:rPr>
                <w:rFonts w:ascii="宋体" w:hAnsi="宋体" w:eastAsia="宋体" w:cs="宋体"/>
                <w:spacing w:val="23"/>
                <w:sz w:val="22"/>
                <w:szCs w:val="22"/>
              </w:rPr>
              <w:t xml:space="preserve"> </w:t>
            </w:r>
            <w:r>
              <w:rPr>
                <w:rFonts w:ascii="宋体" w:hAnsi="宋体" w:eastAsia="宋体" w:cs="宋体"/>
                <w:spacing w:val="23"/>
                <w:sz w:val="22"/>
                <w:szCs w:val="22"/>
                <w14:textOutline w14:w="4013" w14:cap="sq" w14:cmpd="sng">
                  <w14:solidFill>
                    <w14:srgbClr w14:val="000000"/>
                  </w14:solidFill>
                  <w14:prstDash w14:val="solid"/>
                  <w14:bevel/>
                </w14:textOutline>
              </w:rPr>
              <w:t>费</w:t>
            </w:r>
          </w:p>
          <w:p>
            <w:pPr>
              <w:spacing w:before="48" w:line="222" w:lineRule="auto"/>
              <w:ind w:left="377"/>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用</w:t>
            </w:r>
          </w:p>
        </w:tc>
        <w:tc>
          <w:tcPr>
            <w:tcW w:w="3268" w:type="dxa"/>
            <w:gridSpan w:val="3"/>
            <w:shd w:val="clear" w:color="auto" w:fill="EFF2F7"/>
            <w:vAlign w:val="top"/>
          </w:tcPr>
          <w:p>
            <w:pPr>
              <w:spacing w:before="151" w:line="221" w:lineRule="auto"/>
              <w:ind w:left="549"/>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公务用车购置及运</w:t>
            </w:r>
            <w:r>
              <w:rPr>
                <w:rFonts w:ascii="宋体" w:hAnsi="宋体" w:eastAsia="宋体" w:cs="宋体"/>
                <w:sz w:val="22"/>
                <w:szCs w:val="22"/>
                <w14:textOutline w14:w="4013" w14:cap="sq" w14:cmpd="sng">
                  <w14:solidFill>
                    <w14:srgbClr w14:val="000000"/>
                  </w14:solidFill>
                  <w14:prstDash w14:val="solid"/>
                  <w14:bevel/>
                </w14:textOutline>
              </w:rPr>
              <w:t>行费</w:t>
            </w:r>
          </w:p>
        </w:tc>
        <w:tc>
          <w:tcPr>
            <w:tcW w:w="1187" w:type="dxa"/>
            <w:vMerge w:val="restart"/>
            <w:tcBorders>
              <w:bottom w:val="nil"/>
            </w:tcBorders>
            <w:shd w:val="clear" w:color="auto" w:fill="EFF2F7"/>
            <w:vAlign w:val="top"/>
          </w:tcPr>
          <w:p>
            <w:pPr>
              <w:spacing w:line="401" w:lineRule="auto"/>
              <w:rPr>
                <w:rFonts w:ascii="Arial"/>
                <w:sz w:val="21"/>
              </w:rPr>
            </w:pPr>
          </w:p>
          <w:p>
            <w:pPr>
              <w:spacing w:before="72" w:line="221" w:lineRule="auto"/>
              <w:ind w:left="55"/>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公</w:t>
            </w:r>
            <w:r>
              <w:rPr>
                <w:rFonts w:ascii="宋体" w:hAnsi="宋体" w:eastAsia="宋体" w:cs="宋体"/>
                <w:spacing w:val="-2"/>
                <w:sz w:val="22"/>
                <w:szCs w:val="22"/>
                <w14:textOutline w14:w="4013" w14:cap="sq" w14:cmpd="sng">
                  <w14:solidFill>
                    <w14:srgbClr w14:val="000000"/>
                  </w14:solidFill>
                  <w14:prstDash w14:val="solid"/>
                  <w14:bevel/>
                </w14:textOutline>
              </w:rPr>
              <w:t>务接待费</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43" w:hRule="atLeast"/>
        </w:trPr>
        <w:tc>
          <w:tcPr>
            <w:tcW w:w="732" w:type="dxa"/>
            <w:vMerge w:val="continue"/>
            <w:tcBorders>
              <w:top w:val="nil"/>
            </w:tcBorders>
            <w:vAlign w:val="top"/>
          </w:tcPr>
          <w:p>
            <w:pPr>
              <w:rPr>
                <w:rFonts w:ascii="Arial"/>
                <w:sz w:val="21"/>
              </w:rPr>
            </w:pPr>
          </w:p>
        </w:tc>
        <w:tc>
          <w:tcPr>
            <w:tcW w:w="1431" w:type="dxa"/>
            <w:vMerge w:val="continue"/>
            <w:tcBorders>
              <w:top w:val="nil"/>
            </w:tcBorders>
            <w:vAlign w:val="top"/>
          </w:tcPr>
          <w:p>
            <w:pPr>
              <w:rPr>
                <w:rFonts w:ascii="Arial"/>
                <w:sz w:val="21"/>
              </w:rPr>
            </w:pPr>
          </w:p>
        </w:tc>
        <w:tc>
          <w:tcPr>
            <w:tcW w:w="763" w:type="dxa"/>
            <w:vMerge w:val="continue"/>
            <w:tcBorders>
              <w:top w:val="nil"/>
            </w:tcBorders>
            <w:vAlign w:val="top"/>
          </w:tcPr>
          <w:p>
            <w:pPr>
              <w:rPr>
                <w:rFonts w:ascii="Arial"/>
                <w:sz w:val="21"/>
              </w:rPr>
            </w:pPr>
          </w:p>
        </w:tc>
        <w:tc>
          <w:tcPr>
            <w:tcW w:w="959" w:type="dxa"/>
            <w:vMerge w:val="continue"/>
            <w:tcBorders>
              <w:top w:val="nil"/>
            </w:tcBorders>
            <w:vAlign w:val="top"/>
          </w:tcPr>
          <w:p>
            <w:pPr>
              <w:rPr>
                <w:rFonts w:ascii="Arial"/>
                <w:sz w:val="21"/>
              </w:rPr>
            </w:pPr>
          </w:p>
        </w:tc>
        <w:tc>
          <w:tcPr>
            <w:tcW w:w="795" w:type="dxa"/>
            <w:shd w:val="clear" w:color="auto" w:fill="EFF2F7"/>
            <w:vAlign w:val="top"/>
          </w:tcPr>
          <w:p>
            <w:pPr>
              <w:spacing w:before="221" w:line="222" w:lineRule="auto"/>
              <w:ind w:left="188"/>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小</w:t>
            </w:r>
            <w:r>
              <w:rPr>
                <w:rFonts w:ascii="宋体" w:hAnsi="宋体" w:eastAsia="宋体" w:cs="宋体"/>
                <w:spacing w:val="-6"/>
                <w:sz w:val="22"/>
                <w:szCs w:val="22"/>
                <w14:textOutline w14:w="4013" w14:cap="sq" w14:cmpd="sng">
                  <w14:solidFill>
                    <w14:srgbClr w14:val="000000"/>
                  </w14:solidFill>
                  <w14:prstDash w14:val="solid"/>
                  <w14:bevel/>
                </w14:textOutline>
              </w:rPr>
              <w:t>计</w:t>
            </w:r>
          </w:p>
        </w:tc>
        <w:tc>
          <w:tcPr>
            <w:tcW w:w="1244" w:type="dxa"/>
            <w:shd w:val="clear" w:color="auto" w:fill="EFF2F7"/>
            <w:vAlign w:val="top"/>
          </w:tcPr>
          <w:p>
            <w:pPr>
              <w:spacing w:before="64" w:line="242" w:lineRule="auto"/>
              <w:ind w:left="405" w:right="64" w:hanging="320"/>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公</w:t>
            </w:r>
            <w:r>
              <w:rPr>
                <w:rFonts w:ascii="宋体" w:hAnsi="宋体" w:eastAsia="宋体" w:cs="宋体"/>
                <w:spacing w:val="-2"/>
                <w:sz w:val="22"/>
                <w:szCs w:val="22"/>
                <w14:textOutline w14:w="4013" w14:cap="sq" w14:cmpd="sng">
                  <w14:solidFill>
                    <w14:srgbClr w14:val="000000"/>
                  </w14:solidFill>
                  <w14:prstDash w14:val="solid"/>
                  <w14:bevel/>
                </w14:textOutline>
              </w:rPr>
              <w:t>务用车购</w:t>
            </w:r>
            <w:r>
              <w:rPr>
                <w:rFonts w:ascii="宋体" w:hAnsi="宋体" w:eastAsia="宋体" w:cs="宋体"/>
                <w:sz w:val="22"/>
                <w:szCs w:val="22"/>
              </w:rPr>
              <w:t xml:space="preserve"> </w:t>
            </w:r>
            <w:r>
              <w:rPr>
                <w:rFonts w:ascii="宋体" w:hAnsi="宋体" w:eastAsia="宋体" w:cs="宋体"/>
                <w:spacing w:val="-4"/>
                <w:sz w:val="22"/>
                <w:szCs w:val="22"/>
                <w14:textOutline w14:w="4013" w14:cap="sq" w14:cmpd="sng">
                  <w14:solidFill>
                    <w14:srgbClr w14:val="000000"/>
                  </w14:solidFill>
                  <w14:prstDash w14:val="solid"/>
                  <w14:bevel/>
                </w14:textOutline>
              </w:rPr>
              <w:t>置</w:t>
            </w:r>
            <w:r>
              <w:rPr>
                <w:rFonts w:ascii="宋体" w:hAnsi="宋体" w:eastAsia="宋体" w:cs="宋体"/>
                <w:spacing w:val="-2"/>
                <w:sz w:val="22"/>
                <w:szCs w:val="22"/>
                <w14:textOutline w14:w="4013" w14:cap="sq" w14:cmpd="sng">
                  <w14:solidFill>
                    <w14:srgbClr w14:val="000000"/>
                  </w14:solidFill>
                  <w14:prstDash w14:val="solid"/>
                  <w14:bevel/>
                </w14:textOutline>
              </w:rPr>
              <w:t>费</w:t>
            </w:r>
          </w:p>
        </w:tc>
        <w:tc>
          <w:tcPr>
            <w:tcW w:w="1229" w:type="dxa"/>
            <w:shd w:val="clear" w:color="auto" w:fill="EFF2F7"/>
            <w:vAlign w:val="top"/>
          </w:tcPr>
          <w:p>
            <w:pPr>
              <w:spacing w:before="64" w:line="242" w:lineRule="auto"/>
              <w:ind w:left="404" w:right="55" w:hanging="325"/>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公</w:t>
            </w:r>
            <w:r>
              <w:rPr>
                <w:rFonts w:ascii="宋体" w:hAnsi="宋体" w:eastAsia="宋体" w:cs="宋体"/>
                <w:spacing w:val="-2"/>
                <w:sz w:val="22"/>
                <w:szCs w:val="22"/>
                <w14:textOutline w14:w="4013" w14:cap="sq" w14:cmpd="sng">
                  <w14:solidFill>
                    <w14:srgbClr w14:val="000000"/>
                  </w14:solidFill>
                  <w14:prstDash w14:val="solid"/>
                  <w14:bevel/>
                </w14:textOutline>
              </w:rPr>
              <w:t>务用车运</w:t>
            </w:r>
            <w:r>
              <w:rPr>
                <w:rFonts w:ascii="宋体" w:hAnsi="宋体" w:eastAsia="宋体" w:cs="宋体"/>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行</w:t>
            </w:r>
            <w:r>
              <w:rPr>
                <w:rFonts w:ascii="宋体" w:hAnsi="宋体" w:eastAsia="宋体" w:cs="宋体"/>
                <w:spacing w:val="-5"/>
                <w:sz w:val="22"/>
                <w:szCs w:val="22"/>
                <w14:textOutline w14:w="4013" w14:cap="sq" w14:cmpd="sng">
                  <w14:solidFill>
                    <w14:srgbClr w14:val="000000"/>
                  </w14:solidFill>
                  <w14:prstDash w14:val="solid"/>
                  <w14:bevel/>
                </w14:textOutline>
              </w:rPr>
              <w:t>费</w:t>
            </w:r>
          </w:p>
        </w:tc>
        <w:tc>
          <w:tcPr>
            <w:tcW w:w="1187" w:type="dxa"/>
            <w:vMerge w:val="continue"/>
            <w:tcBorders>
              <w:top w:val="nil"/>
            </w:tcBorders>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75" w:hRule="atLeast"/>
        </w:trPr>
        <w:tc>
          <w:tcPr>
            <w:tcW w:w="732" w:type="dxa"/>
            <w:vAlign w:val="top"/>
          </w:tcPr>
          <w:p>
            <w:pPr>
              <w:rPr>
                <w:rFonts w:ascii="Arial"/>
                <w:sz w:val="21"/>
              </w:rPr>
            </w:pPr>
          </w:p>
        </w:tc>
        <w:tc>
          <w:tcPr>
            <w:tcW w:w="1431" w:type="dxa"/>
            <w:vAlign w:val="top"/>
          </w:tcPr>
          <w:p>
            <w:pPr>
              <w:spacing w:before="137" w:line="222" w:lineRule="auto"/>
              <w:ind w:left="281"/>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合</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计</w:t>
            </w:r>
          </w:p>
        </w:tc>
        <w:tc>
          <w:tcPr>
            <w:tcW w:w="763"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b/>
                <w:i w:val="0"/>
                <w:color w:val="000000"/>
                <w:spacing w:val="0"/>
                <w:w w:val="100"/>
                <w:kern w:val="0"/>
                <w:position w:val="0"/>
                <w:sz w:val="22"/>
                <w:szCs w:val="22"/>
                <w:u w:val="none"/>
                <w:shd w:val="clear" w:color="auto" w:fill="auto"/>
                <w:lang w:val="en-US" w:eastAsia="zh-CN" w:bidi="ar"/>
              </w:rPr>
              <w:t>23.30</w:t>
            </w:r>
          </w:p>
        </w:tc>
        <w:tc>
          <w:tcPr>
            <w:tcW w:w="959" w:type="dxa"/>
            <w:vAlign w:val="center"/>
          </w:tcPr>
          <w:p>
            <w:pPr>
              <w:jc w:val="right"/>
              <w:rPr>
                <w:rFonts w:ascii="Arial"/>
                <w:sz w:val="21"/>
              </w:rPr>
            </w:pPr>
          </w:p>
        </w:tc>
        <w:tc>
          <w:tcPr>
            <w:tcW w:w="795"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b/>
                <w:i w:val="0"/>
                <w:color w:val="000000"/>
                <w:spacing w:val="0"/>
                <w:w w:val="100"/>
                <w:kern w:val="0"/>
                <w:position w:val="0"/>
                <w:sz w:val="22"/>
                <w:szCs w:val="22"/>
                <w:u w:val="none"/>
                <w:shd w:val="clear" w:color="auto" w:fill="auto"/>
                <w:lang w:val="en-US" w:eastAsia="zh-CN" w:bidi="ar"/>
              </w:rPr>
              <w:t>22.00</w:t>
            </w:r>
          </w:p>
        </w:tc>
        <w:tc>
          <w:tcPr>
            <w:tcW w:w="1244" w:type="dxa"/>
            <w:vAlign w:val="center"/>
          </w:tcPr>
          <w:p>
            <w:pPr>
              <w:jc w:val="right"/>
              <w:rPr>
                <w:rFonts w:ascii="Arial"/>
                <w:sz w:val="21"/>
              </w:rPr>
            </w:pPr>
          </w:p>
        </w:tc>
        <w:tc>
          <w:tcPr>
            <w:tcW w:w="1229"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b/>
                <w:i w:val="0"/>
                <w:color w:val="000000"/>
                <w:spacing w:val="0"/>
                <w:w w:val="100"/>
                <w:kern w:val="0"/>
                <w:position w:val="0"/>
                <w:sz w:val="22"/>
                <w:szCs w:val="22"/>
                <w:u w:val="none"/>
                <w:shd w:val="clear" w:color="auto" w:fill="auto"/>
                <w:lang w:val="en-US" w:eastAsia="zh-CN" w:bidi="ar"/>
              </w:rPr>
              <w:t>22.00</w:t>
            </w:r>
          </w:p>
        </w:tc>
        <w:tc>
          <w:tcPr>
            <w:tcW w:w="1187"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b/>
                <w:i w:val="0"/>
                <w:color w:val="000000"/>
                <w:spacing w:val="0"/>
                <w:w w:val="100"/>
                <w:kern w:val="0"/>
                <w:position w:val="0"/>
                <w:sz w:val="22"/>
                <w:szCs w:val="22"/>
                <w:u w:val="none"/>
                <w:shd w:val="clear" w:color="auto" w:fill="auto"/>
                <w:lang w:val="en-US" w:eastAsia="zh-CN" w:bidi="ar"/>
              </w:rPr>
              <w:t>1.30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48" w:hRule="atLeast"/>
        </w:trPr>
        <w:tc>
          <w:tcPr>
            <w:tcW w:w="732" w:type="dxa"/>
            <w:vAlign w:val="top"/>
          </w:tcPr>
          <w:p>
            <w:pPr>
              <w:spacing w:before="257" w:line="186" w:lineRule="auto"/>
              <w:ind w:left="27"/>
              <w:rPr>
                <w:rFonts w:ascii="宋体" w:hAnsi="宋体" w:eastAsia="宋体" w:cs="宋体"/>
                <w:sz w:val="22"/>
                <w:szCs w:val="22"/>
              </w:rPr>
            </w:pPr>
          </w:p>
        </w:tc>
        <w:tc>
          <w:tcPr>
            <w:tcW w:w="1431" w:type="dxa"/>
            <w:vAlign w:val="top"/>
          </w:tcPr>
          <w:p>
            <w:pPr>
              <w:spacing w:before="67" w:line="241" w:lineRule="auto"/>
              <w:ind w:left="17" w:right="95" w:firstLine="21"/>
              <w:rPr>
                <w:rFonts w:ascii="宋体" w:hAnsi="宋体" w:eastAsia="宋体" w:cs="宋体"/>
                <w:sz w:val="22"/>
                <w:szCs w:val="22"/>
              </w:rPr>
            </w:pPr>
          </w:p>
        </w:tc>
        <w:tc>
          <w:tcPr>
            <w:tcW w:w="763"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23.30</w:t>
            </w:r>
          </w:p>
        </w:tc>
        <w:tc>
          <w:tcPr>
            <w:tcW w:w="959" w:type="dxa"/>
            <w:vAlign w:val="center"/>
          </w:tcPr>
          <w:p>
            <w:pPr>
              <w:jc w:val="right"/>
              <w:rPr>
                <w:rFonts w:ascii="Arial"/>
                <w:sz w:val="21"/>
              </w:rPr>
            </w:pPr>
          </w:p>
        </w:tc>
        <w:tc>
          <w:tcPr>
            <w:tcW w:w="795"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22.00</w:t>
            </w:r>
          </w:p>
        </w:tc>
        <w:tc>
          <w:tcPr>
            <w:tcW w:w="1244" w:type="dxa"/>
            <w:vAlign w:val="center"/>
          </w:tcPr>
          <w:p>
            <w:pPr>
              <w:jc w:val="right"/>
              <w:rPr>
                <w:rFonts w:ascii="Arial"/>
                <w:sz w:val="21"/>
              </w:rPr>
            </w:pPr>
          </w:p>
        </w:tc>
        <w:tc>
          <w:tcPr>
            <w:tcW w:w="1229"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22.00</w:t>
            </w:r>
          </w:p>
        </w:tc>
        <w:tc>
          <w:tcPr>
            <w:tcW w:w="1187"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48" w:hRule="atLeast"/>
        </w:trPr>
        <w:tc>
          <w:tcPr>
            <w:tcW w:w="732" w:type="dxa"/>
            <w:vAlign w:val="center"/>
          </w:tcPr>
          <w:p>
            <w:pPr>
              <w:keepNext w:val="0"/>
              <w:keepLines w:val="0"/>
              <w:widowControl/>
              <w:suppressLineNumbers w:val="0"/>
              <w:ind w:left="0" w:leftChars="0" w:right="0" w:rightChars="0" w:firstLine="0" w:firstLineChars="0"/>
              <w:jc w:val="lef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512001</w:t>
            </w:r>
          </w:p>
        </w:tc>
        <w:tc>
          <w:tcPr>
            <w:tcW w:w="1431" w:type="dxa"/>
            <w:vAlign w:val="center"/>
          </w:tcPr>
          <w:p>
            <w:pPr>
              <w:keepNext w:val="0"/>
              <w:keepLines w:val="0"/>
              <w:widowControl/>
              <w:suppressLineNumbers w:val="0"/>
              <w:ind w:left="0" w:leftChars="0" w:right="0" w:rightChars="0" w:firstLine="0" w:firstLineChars="0"/>
              <w:jc w:val="lef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夹江县交通运输局机关</w:t>
            </w:r>
          </w:p>
        </w:tc>
        <w:tc>
          <w:tcPr>
            <w:tcW w:w="763"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3.40</w:t>
            </w:r>
          </w:p>
        </w:tc>
        <w:tc>
          <w:tcPr>
            <w:tcW w:w="959" w:type="dxa"/>
            <w:vAlign w:val="center"/>
          </w:tcPr>
          <w:p>
            <w:pPr>
              <w:jc w:val="right"/>
              <w:rPr>
                <w:rFonts w:ascii="Arial"/>
                <w:sz w:val="21"/>
              </w:rPr>
            </w:pPr>
          </w:p>
        </w:tc>
        <w:tc>
          <w:tcPr>
            <w:tcW w:w="795"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2.60</w:t>
            </w:r>
          </w:p>
        </w:tc>
        <w:tc>
          <w:tcPr>
            <w:tcW w:w="1244" w:type="dxa"/>
            <w:vAlign w:val="center"/>
          </w:tcPr>
          <w:p>
            <w:pPr>
              <w:jc w:val="right"/>
              <w:rPr>
                <w:rFonts w:ascii="Arial"/>
                <w:sz w:val="21"/>
              </w:rPr>
            </w:pPr>
          </w:p>
        </w:tc>
        <w:tc>
          <w:tcPr>
            <w:tcW w:w="1229"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2.60</w:t>
            </w:r>
          </w:p>
        </w:tc>
        <w:tc>
          <w:tcPr>
            <w:tcW w:w="1187"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0.80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69" w:hRule="atLeast"/>
        </w:trPr>
        <w:tc>
          <w:tcPr>
            <w:tcW w:w="732" w:type="dxa"/>
            <w:vAlign w:val="center"/>
          </w:tcPr>
          <w:p>
            <w:pPr>
              <w:keepNext w:val="0"/>
              <w:keepLines w:val="0"/>
              <w:widowControl/>
              <w:suppressLineNumbers w:val="0"/>
              <w:ind w:left="0" w:leftChars="0" w:right="0" w:rightChars="0" w:firstLine="0" w:firstLineChars="0"/>
              <w:jc w:val="lef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512002</w:t>
            </w:r>
          </w:p>
        </w:tc>
        <w:tc>
          <w:tcPr>
            <w:tcW w:w="1431" w:type="dxa"/>
            <w:vAlign w:val="center"/>
          </w:tcPr>
          <w:p>
            <w:pPr>
              <w:keepNext w:val="0"/>
              <w:keepLines w:val="0"/>
              <w:widowControl/>
              <w:suppressLineNumbers w:val="0"/>
              <w:ind w:left="0" w:leftChars="0" w:right="0" w:rightChars="0" w:firstLine="0" w:firstLineChars="0"/>
              <w:jc w:val="lef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夹江县公路建设服务中心</w:t>
            </w:r>
          </w:p>
        </w:tc>
        <w:tc>
          <w:tcPr>
            <w:tcW w:w="763"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8.50</w:t>
            </w:r>
          </w:p>
        </w:tc>
        <w:tc>
          <w:tcPr>
            <w:tcW w:w="959" w:type="dxa"/>
            <w:vAlign w:val="center"/>
          </w:tcPr>
          <w:p>
            <w:pPr>
              <w:jc w:val="right"/>
              <w:rPr>
                <w:rFonts w:ascii="Arial"/>
                <w:sz w:val="21"/>
              </w:rPr>
            </w:pPr>
          </w:p>
        </w:tc>
        <w:tc>
          <w:tcPr>
            <w:tcW w:w="795"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8.00</w:t>
            </w:r>
          </w:p>
        </w:tc>
        <w:tc>
          <w:tcPr>
            <w:tcW w:w="1244" w:type="dxa"/>
            <w:vAlign w:val="center"/>
          </w:tcPr>
          <w:p>
            <w:pPr>
              <w:jc w:val="right"/>
              <w:rPr>
                <w:rFonts w:ascii="Arial"/>
                <w:sz w:val="21"/>
              </w:rPr>
            </w:pPr>
          </w:p>
        </w:tc>
        <w:tc>
          <w:tcPr>
            <w:tcW w:w="1229"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8.00</w:t>
            </w:r>
          </w:p>
        </w:tc>
        <w:tc>
          <w:tcPr>
            <w:tcW w:w="1187"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0.50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69" w:hRule="atLeast"/>
        </w:trPr>
        <w:tc>
          <w:tcPr>
            <w:tcW w:w="732" w:type="dxa"/>
            <w:vAlign w:val="center"/>
          </w:tcPr>
          <w:p>
            <w:pPr>
              <w:keepNext w:val="0"/>
              <w:keepLines w:val="0"/>
              <w:widowControl/>
              <w:suppressLineNumbers w:val="0"/>
              <w:ind w:left="0" w:leftChars="0" w:right="0" w:rightChars="0" w:firstLine="0" w:firstLineChars="0"/>
              <w:jc w:val="lef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512003</w:t>
            </w:r>
          </w:p>
        </w:tc>
        <w:tc>
          <w:tcPr>
            <w:tcW w:w="1431" w:type="dxa"/>
            <w:vAlign w:val="center"/>
          </w:tcPr>
          <w:p>
            <w:pPr>
              <w:keepNext w:val="0"/>
              <w:keepLines w:val="0"/>
              <w:widowControl/>
              <w:suppressLineNumbers w:val="0"/>
              <w:ind w:left="0" w:leftChars="0" w:right="0" w:rightChars="0" w:firstLine="0" w:firstLineChars="0"/>
              <w:jc w:val="lef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夹江县运输中心</w:t>
            </w:r>
          </w:p>
        </w:tc>
        <w:tc>
          <w:tcPr>
            <w:tcW w:w="763"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3.00</w:t>
            </w:r>
          </w:p>
        </w:tc>
        <w:tc>
          <w:tcPr>
            <w:tcW w:w="959" w:type="dxa"/>
            <w:vAlign w:val="center"/>
          </w:tcPr>
          <w:p>
            <w:pPr>
              <w:jc w:val="right"/>
              <w:rPr>
                <w:rFonts w:ascii="Arial"/>
                <w:sz w:val="21"/>
              </w:rPr>
            </w:pPr>
          </w:p>
        </w:tc>
        <w:tc>
          <w:tcPr>
            <w:tcW w:w="795"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3.00</w:t>
            </w:r>
          </w:p>
        </w:tc>
        <w:tc>
          <w:tcPr>
            <w:tcW w:w="1244" w:type="dxa"/>
            <w:vAlign w:val="center"/>
          </w:tcPr>
          <w:p>
            <w:pPr>
              <w:jc w:val="right"/>
              <w:rPr>
                <w:rFonts w:ascii="Arial"/>
                <w:sz w:val="21"/>
              </w:rPr>
            </w:pPr>
          </w:p>
        </w:tc>
        <w:tc>
          <w:tcPr>
            <w:tcW w:w="1229"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3.00</w:t>
            </w:r>
          </w:p>
        </w:tc>
        <w:tc>
          <w:tcPr>
            <w:tcW w:w="1187" w:type="dxa"/>
            <w:vAlign w:val="center"/>
          </w:tcPr>
          <w:p>
            <w:pPr>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69" w:hRule="atLeast"/>
        </w:trPr>
        <w:tc>
          <w:tcPr>
            <w:tcW w:w="732" w:type="dxa"/>
            <w:vAlign w:val="center"/>
          </w:tcPr>
          <w:p>
            <w:pPr>
              <w:keepNext w:val="0"/>
              <w:keepLines w:val="0"/>
              <w:widowControl/>
              <w:suppressLineNumbers w:val="0"/>
              <w:ind w:left="0" w:leftChars="0" w:right="0" w:rightChars="0" w:firstLine="0" w:firstLineChars="0"/>
              <w:jc w:val="lef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512004</w:t>
            </w:r>
          </w:p>
        </w:tc>
        <w:tc>
          <w:tcPr>
            <w:tcW w:w="1431" w:type="dxa"/>
            <w:vAlign w:val="center"/>
          </w:tcPr>
          <w:p>
            <w:pPr>
              <w:keepNext w:val="0"/>
              <w:keepLines w:val="0"/>
              <w:widowControl/>
              <w:suppressLineNumbers w:val="0"/>
              <w:ind w:left="0" w:leftChars="0" w:right="0" w:rightChars="0" w:firstLine="0" w:firstLineChars="0"/>
              <w:jc w:val="lef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夹江县交通运输综合行政执法大队</w:t>
            </w:r>
          </w:p>
        </w:tc>
        <w:tc>
          <w:tcPr>
            <w:tcW w:w="763"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7.00</w:t>
            </w:r>
          </w:p>
        </w:tc>
        <w:tc>
          <w:tcPr>
            <w:tcW w:w="959" w:type="dxa"/>
            <w:vAlign w:val="center"/>
          </w:tcPr>
          <w:p>
            <w:pPr>
              <w:jc w:val="right"/>
              <w:rPr>
                <w:rFonts w:ascii="Arial"/>
                <w:sz w:val="21"/>
              </w:rPr>
            </w:pPr>
          </w:p>
        </w:tc>
        <w:tc>
          <w:tcPr>
            <w:tcW w:w="795"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7.00</w:t>
            </w:r>
          </w:p>
        </w:tc>
        <w:tc>
          <w:tcPr>
            <w:tcW w:w="1244" w:type="dxa"/>
            <w:vAlign w:val="center"/>
          </w:tcPr>
          <w:p>
            <w:pPr>
              <w:jc w:val="right"/>
              <w:rPr>
                <w:rFonts w:ascii="Arial"/>
                <w:sz w:val="21"/>
              </w:rPr>
            </w:pPr>
          </w:p>
        </w:tc>
        <w:tc>
          <w:tcPr>
            <w:tcW w:w="1229"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7.00</w:t>
            </w:r>
          </w:p>
        </w:tc>
        <w:tc>
          <w:tcPr>
            <w:tcW w:w="1187" w:type="dxa"/>
            <w:vAlign w:val="center"/>
          </w:tcPr>
          <w:p>
            <w:pPr>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69" w:hRule="atLeast"/>
        </w:trPr>
        <w:tc>
          <w:tcPr>
            <w:tcW w:w="732" w:type="dxa"/>
            <w:vAlign w:val="center"/>
          </w:tcPr>
          <w:p>
            <w:pPr>
              <w:keepNext w:val="0"/>
              <w:keepLines w:val="0"/>
              <w:widowControl/>
              <w:suppressLineNumbers w:val="0"/>
              <w:ind w:left="0" w:leftChars="0" w:right="0" w:rightChars="0" w:firstLine="0" w:firstLineChars="0"/>
              <w:jc w:val="lef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512007</w:t>
            </w:r>
          </w:p>
        </w:tc>
        <w:tc>
          <w:tcPr>
            <w:tcW w:w="1431" w:type="dxa"/>
            <w:vAlign w:val="center"/>
          </w:tcPr>
          <w:p>
            <w:pPr>
              <w:keepNext w:val="0"/>
              <w:keepLines w:val="0"/>
              <w:widowControl/>
              <w:suppressLineNumbers w:val="0"/>
              <w:ind w:left="0" w:leftChars="0" w:right="0" w:rightChars="0" w:firstLine="0" w:firstLineChars="0"/>
              <w:jc w:val="lef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夹江县港航中心</w:t>
            </w:r>
          </w:p>
        </w:tc>
        <w:tc>
          <w:tcPr>
            <w:tcW w:w="763"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1.40</w:t>
            </w:r>
          </w:p>
        </w:tc>
        <w:tc>
          <w:tcPr>
            <w:tcW w:w="959" w:type="dxa"/>
            <w:vAlign w:val="center"/>
          </w:tcPr>
          <w:p>
            <w:pPr>
              <w:jc w:val="right"/>
              <w:rPr>
                <w:rFonts w:ascii="Arial"/>
                <w:sz w:val="21"/>
              </w:rPr>
            </w:pPr>
          </w:p>
        </w:tc>
        <w:tc>
          <w:tcPr>
            <w:tcW w:w="795"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1.40</w:t>
            </w:r>
          </w:p>
        </w:tc>
        <w:tc>
          <w:tcPr>
            <w:tcW w:w="1244" w:type="dxa"/>
            <w:vAlign w:val="center"/>
          </w:tcPr>
          <w:p>
            <w:pPr>
              <w:jc w:val="right"/>
              <w:rPr>
                <w:rFonts w:ascii="Arial"/>
                <w:sz w:val="21"/>
              </w:rPr>
            </w:pPr>
          </w:p>
        </w:tc>
        <w:tc>
          <w:tcPr>
            <w:tcW w:w="1229"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22"/>
                <w:szCs w:val="22"/>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1.40</w:t>
            </w:r>
          </w:p>
        </w:tc>
        <w:tc>
          <w:tcPr>
            <w:tcW w:w="1187" w:type="dxa"/>
            <w:vAlign w:val="center"/>
          </w:tcPr>
          <w:p>
            <w:pPr>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69" w:hRule="atLeast"/>
        </w:trPr>
        <w:tc>
          <w:tcPr>
            <w:tcW w:w="73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512101</w:t>
            </w:r>
          </w:p>
        </w:tc>
        <w:tc>
          <w:tcPr>
            <w:tcW w:w="14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漹城交通站</w:t>
            </w:r>
          </w:p>
        </w:tc>
        <w:tc>
          <w:tcPr>
            <w:tcW w:w="763"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59" w:type="dxa"/>
            <w:vAlign w:val="center"/>
          </w:tcPr>
          <w:p>
            <w:pPr>
              <w:jc w:val="right"/>
              <w:rPr>
                <w:rFonts w:ascii="Arial"/>
                <w:sz w:val="21"/>
              </w:rPr>
            </w:pPr>
          </w:p>
        </w:tc>
        <w:tc>
          <w:tcPr>
            <w:tcW w:w="795"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244" w:type="dxa"/>
            <w:vAlign w:val="center"/>
          </w:tcPr>
          <w:p>
            <w:pPr>
              <w:jc w:val="right"/>
              <w:rPr>
                <w:rFonts w:ascii="Arial"/>
                <w:sz w:val="21"/>
              </w:rPr>
            </w:pPr>
          </w:p>
        </w:tc>
        <w:tc>
          <w:tcPr>
            <w:tcW w:w="122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187" w:type="dxa"/>
            <w:vAlign w:val="center"/>
          </w:tcPr>
          <w:p>
            <w:pPr>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69" w:hRule="atLeast"/>
        </w:trPr>
        <w:tc>
          <w:tcPr>
            <w:tcW w:w="73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512102</w:t>
            </w:r>
          </w:p>
        </w:tc>
        <w:tc>
          <w:tcPr>
            <w:tcW w:w="14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青衣交通站</w:t>
            </w:r>
          </w:p>
        </w:tc>
        <w:tc>
          <w:tcPr>
            <w:tcW w:w="763"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59" w:type="dxa"/>
            <w:vAlign w:val="center"/>
          </w:tcPr>
          <w:p>
            <w:pPr>
              <w:jc w:val="right"/>
              <w:rPr>
                <w:rFonts w:ascii="Arial"/>
                <w:sz w:val="21"/>
              </w:rPr>
            </w:pPr>
          </w:p>
        </w:tc>
        <w:tc>
          <w:tcPr>
            <w:tcW w:w="795"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244" w:type="dxa"/>
            <w:vAlign w:val="center"/>
          </w:tcPr>
          <w:p>
            <w:pPr>
              <w:jc w:val="right"/>
              <w:rPr>
                <w:rFonts w:ascii="Arial"/>
                <w:sz w:val="21"/>
              </w:rPr>
            </w:pPr>
          </w:p>
        </w:tc>
        <w:tc>
          <w:tcPr>
            <w:tcW w:w="122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187" w:type="dxa"/>
            <w:vAlign w:val="center"/>
          </w:tcPr>
          <w:p>
            <w:pPr>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69" w:hRule="atLeast"/>
        </w:trPr>
        <w:tc>
          <w:tcPr>
            <w:tcW w:w="73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512103</w:t>
            </w:r>
          </w:p>
        </w:tc>
        <w:tc>
          <w:tcPr>
            <w:tcW w:w="14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新场交通站</w:t>
            </w:r>
          </w:p>
        </w:tc>
        <w:tc>
          <w:tcPr>
            <w:tcW w:w="763"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59" w:type="dxa"/>
            <w:vAlign w:val="center"/>
          </w:tcPr>
          <w:p>
            <w:pPr>
              <w:jc w:val="right"/>
              <w:rPr>
                <w:rFonts w:ascii="Arial"/>
                <w:sz w:val="21"/>
              </w:rPr>
            </w:pPr>
          </w:p>
        </w:tc>
        <w:tc>
          <w:tcPr>
            <w:tcW w:w="795"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244" w:type="dxa"/>
            <w:vAlign w:val="center"/>
          </w:tcPr>
          <w:p>
            <w:pPr>
              <w:jc w:val="right"/>
              <w:rPr>
                <w:rFonts w:ascii="Arial"/>
                <w:sz w:val="21"/>
              </w:rPr>
            </w:pPr>
          </w:p>
        </w:tc>
        <w:tc>
          <w:tcPr>
            <w:tcW w:w="122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187" w:type="dxa"/>
            <w:vAlign w:val="center"/>
          </w:tcPr>
          <w:p>
            <w:pPr>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69" w:hRule="atLeast"/>
        </w:trPr>
        <w:tc>
          <w:tcPr>
            <w:tcW w:w="73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512104</w:t>
            </w:r>
          </w:p>
        </w:tc>
        <w:tc>
          <w:tcPr>
            <w:tcW w:w="14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甘江交通站</w:t>
            </w:r>
          </w:p>
        </w:tc>
        <w:tc>
          <w:tcPr>
            <w:tcW w:w="763"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59" w:type="dxa"/>
            <w:vAlign w:val="center"/>
          </w:tcPr>
          <w:p>
            <w:pPr>
              <w:jc w:val="right"/>
              <w:rPr>
                <w:rFonts w:ascii="Arial"/>
                <w:sz w:val="21"/>
              </w:rPr>
            </w:pPr>
          </w:p>
        </w:tc>
        <w:tc>
          <w:tcPr>
            <w:tcW w:w="795"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244" w:type="dxa"/>
            <w:vAlign w:val="center"/>
          </w:tcPr>
          <w:p>
            <w:pPr>
              <w:jc w:val="right"/>
              <w:rPr>
                <w:rFonts w:ascii="Arial"/>
                <w:sz w:val="21"/>
              </w:rPr>
            </w:pPr>
          </w:p>
        </w:tc>
        <w:tc>
          <w:tcPr>
            <w:tcW w:w="122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187" w:type="dxa"/>
            <w:vAlign w:val="center"/>
          </w:tcPr>
          <w:p>
            <w:pPr>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69" w:hRule="atLeast"/>
        </w:trPr>
        <w:tc>
          <w:tcPr>
            <w:tcW w:w="73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512105</w:t>
            </w:r>
          </w:p>
        </w:tc>
        <w:tc>
          <w:tcPr>
            <w:tcW w:w="14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木城交通站</w:t>
            </w:r>
          </w:p>
        </w:tc>
        <w:tc>
          <w:tcPr>
            <w:tcW w:w="763"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59" w:type="dxa"/>
            <w:vAlign w:val="center"/>
          </w:tcPr>
          <w:p>
            <w:pPr>
              <w:jc w:val="right"/>
              <w:rPr>
                <w:rFonts w:ascii="Arial"/>
                <w:sz w:val="21"/>
              </w:rPr>
            </w:pPr>
          </w:p>
        </w:tc>
        <w:tc>
          <w:tcPr>
            <w:tcW w:w="795"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244" w:type="dxa"/>
            <w:vAlign w:val="center"/>
          </w:tcPr>
          <w:p>
            <w:pPr>
              <w:jc w:val="right"/>
              <w:rPr>
                <w:rFonts w:ascii="Arial"/>
                <w:sz w:val="21"/>
              </w:rPr>
            </w:pPr>
          </w:p>
        </w:tc>
        <w:tc>
          <w:tcPr>
            <w:tcW w:w="122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187" w:type="dxa"/>
            <w:vAlign w:val="center"/>
          </w:tcPr>
          <w:p>
            <w:pPr>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69" w:hRule="atLeast"/>
        </w:trPr>
        <w:tc>
          <w:tcPr>
            <w:tcW w:w="73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512106</w:t>
            </w:r>
          </w:p>
        </w:tc>
        <w:tc>
          <w:tcPr>
            <w:tcW w:w="14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吴场交通站</w:t>
            </w:r>
          </w:p>
        </w:tc>
        <w:tc>
          <w:tcPr>
            <w:tcW w:w="763"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59" w:type="dxa"/>
            <w:vAlign w:val="center"/>
          </w:tcPr>
          <w:p>
            <w:pPr>
              <w:jc w:val="right"/>
              <w:rPr>
                <w:rFonts w:ascii="Arial"/>
                <w:sz w:val="21"/>
              </w:rPr>
            </w:pPr>
          </w:p>
        </w:tc>
        <w:tc>
          <w:tcPr>
            <w:tcW w:w="795"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244" w:type="dxa"/>
            <w:vAlign w:val="center"/>
          </w:tcPr>
          <w:p>
            <w:pPr>
              <w:jc w:val="right"/>
              <w:rPr>
                <w:rFonts w:ascii="Arial"/>
                <w:sz w:val="21"/>
              </w:rPr>
            </w:pPr>
          </w:p>
        </w:tc>
        <w:tc>
          <w:tcPr>
            <w:tcW w:w="122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187" w:type="dxa"/>
            <w:vAlign w:val="center"/>
          </w:tcPr>
          <w:p>
            <w:pPr>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69" w:hRule="atLeast"/>
        </w:trPr>
        <w:tc>
          <w:tcPr>
            <w:tcW w:w="73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512107</w:t>
            </w:r>
          </w:p>
        </w:tc>
        <w:tc>
          <w:tcPr>
            <w:tcW w:w="14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黄土交通站</w:t>
            </w:r>
          </w:p>
        </w:tc>
        <w:tc>
          <w:tcPr>
            <w:tcW w:w="763"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59" w:type="dxa"/>
            <w:vAlign w:val="center"/>
          </w:tcPr>
          <w:p>
            <w:pPr>
              <w:jc w:val="right"/>
              <w:rPr>
                <w:rFonts w:ascii="Arial"/>
                <w:sz w:val="21"/>
              </w:rPr>
            </w:pPr>
          </w:p>
        </w:tc>
        <w:tc>
          <w:tcPr>
            <w:tcW w:w="795"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244" w:type="dxa"/>
            <w:vAlign w:val="center"/>
          </w:tcPr>
          <w:p>
            <w:pPr>
              <w:jc w:val="right"/>
              <w:rPr>
                <w:rFonts w:ascii="Arial"/>
                <w:sz w:val="21"/>
              </w:rPr>
            </w:pPr>
          </w:p>
        </w:tc>
        <w:tc>
          <w:tcPr>
            <w:tcW w:w="122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187" w:type="dxa"/>
            <w:vAlign w:val="center"/>
          </w:tcPr>
          <w:p>
            <w:pPr>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69" w:hRule="atLeast"/>
        </w:trPr>
        <w:tc>
          <w:tcPr>
            <w:tcW w:w="73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512108</w:t>
            </w:r>
          </w:p>
        </w:tc>
        <w:tc>
          <w:tcPr>
            <w:tcW w:w="14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马村交通站</w:t>
            </w:r>
          </w:p>
        </w:tc>
        <w:tc>
          <w:tcPr>
            <w:tcW w:w="763"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59" w:type="dxa"/>
            <w:vAlign w:val="center"/>
          </w:tcPr>
          <w:p>
            <w:pPr>
              <w:jc w:val="right"/>
              <w:rPr>
                <w:rFonts w:ascii="Arial"/>
                <w:sz w:val="21"/>
              </w:rPr>
            </w:pPr>
          </w:p>
        </w:tc>
        <w:tc>
          <w:tcPr>
            <w:tcW w:w="795"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244" w:type="dxa"/>
            <w:vAlign w:val="center"/>
          </w:tcPr>
          <w:p>
            <w:pPr>
              <w:jc w:val="right"/>
              <w:rPr>
                <w:rFonts w:ascii="Arial"/>
                <w:sz w:val="21"/>
              </w:rPr>
            </w:pPr>
          </w:p>
        </w:tc>
        <w:tc>
          <w:tcPr>
            <w:tcW w:w="122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187" w:type="dxa"/>
            <w:vAlign w:val="center"/>
          </w:tcPr>
          <w:p>
            <w:pPr>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69" w:hRule="atLeast"/>
        </w:trPr>
        <w:tc>
          <w:tcPr>
            <w:tcW w:w="732"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512109</w:t>
            </w:r>
          </w:p>
        </w:tc>
        <w:tc>
          <w:tcPr>
            <w:tcW w:w="14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en-US" w:bidi="en-US"/>
              </w:rPr>
            </w:pPr>
            <w:r>
              <w:rPr>
                <w:rFonts w:hint="eastAsia" w:ascii="宋体" w:hAnsi="宋体" w:eastAsia="宋体" w:cs="宋体"/>
                <w:i w:val="0"/>
                <w:color w:val="000000"/>
                <w:spacing w:val="0"/>
                <w:w w:val="100"/>
                <w:kern w:val="0"/>
                <w:position w:val="0"/>
                <w:sz w:val="22"/>
                <w:szCs w:val="22"/>
                <w:u w:val="none"/>
                <w:shd w:val="clear" w:color="auto" w:fill="auto"/>
                <w:lang w:val="en-US" w:eastAsia="en-US" w:bidi="en-US"/>
              </w:rPr>
              <w:t xml:space="preserve"> 华头交通站</w:t>
            </w:r>
          </w:p>
        </w:tc>
        <w:tc>
          <w:tcPr>
            <w:tcW w:w="763"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959" w:type="dxa"/>
            <w:vAlign w:val="center"/>
          </w:tcPr>
          <w:p>
            <w:pPr>
              <w:jc w:val="right"/>
              <w:rPr>
                <w:rFonts w:ascii="Arial"/>
                <w:sz w:val="21"/>
              </w:rPr>
            </w:pPr>
          </w:p>
        </w:tc>
        <w:tc>
          <w:tcPr>
            <w:tcW w:w="795"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244" w:type="dxa"/>
            <w:vAlign w:val="center"/>
          </w:tcPr>
          <w:p>
            <w:pPr>
              <w:jc w:val="right"/>
              <w:rPr>
                <w:rFonts w:ascii="Arial"/>
                <w:sz w:val="21"/>
              </w:rPr>
            </w:pPr>
          </w:p>
        </w:tc>
        <w:tc>
          <w:tcPr>
            <w:tcW w:w="1229" w:type="dxa"/>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p>
        </w:tc>
        <w:tc>
          <w:tcPr>
            <w:tcW w:w="1187" w:type="dxa"/>
            <w:vAlign w:val="center"/>
          </w:tcPr>
          <w:p>
            <w:pPr>
              <w:jc w:val="right"/>
              <w:rPr>
                <w:rFonts w:ascii="宋体" w:hAnsi="宋体" w:eastAsia="宋体" w:cs="宋体"/>
                <w:sz w:val="22"/>
                <w:szCs w:val="22"/>
              </w:rPr>
            </w:pPr>
          </w:p>
        </w:tc>
      </w:tr>
    </w:tbl>
    <w:p>
      <w:pPr>
        <w:rPr>
          <w:rFonts w:ascii="Arial"/>
          <w:sz w:val="21"/>
        </w:rPr>
      </w:pPr>
    </w:p>
    <w:p>
      <w:pPr>
        <w:sectPr>
          <w:footerReference r:id="rId24" w:type="default"/>
          <w:pgSz w:w="11906" w:h="16839"/>
          <w:pgMar w:top="1431" w:right="1780" w:bottom="855" w:left="1780" w:header="0" w:footer="572" w:gutter="0"/>
          <w:cols w:space="720" w:num="1"/>
        </w:sectPr>
      </w:pPr>
    </w:p>
    <w:p>
      <w:pPr>
        <w:spacing w:line="245" w:lineRule="auto"/>
        <w:rPr>
          <w:rFonts w:ascii="Arial"/>
          <w:sz w:val="21"/>
        </w:rPr>
      </w:pPr>
    </w:p>
    <w:p>
      <w:pPr>
        <w:spacing w:line="246" w:lineRule="auto"/>
        <w:rPr>
          <w:rFonts w:ascii="Arial"/>
          <w:sz w:val="21"/>
        </w:rPr>
      </w:pPr>
    </w:p>
    <w:p>
      <w:pPr>
        <w:spacing w:before="72" w:line="212" w:lineRule="auto"/>
        <w:ind w:right="33"/>
        <w:jc w:val="right"/>
        <w:rPr>
          <w:rFonts w:ascii="宋体" w:hAnsi="宋体" w:eastAsia="宋体" w:cs="宋体"/>
          <w:sz w:val="22"/>
          <w:szCs w:val="22"/>
        </w:rPr>
      </w:pPr>
      <w:r>
        <w:rPr>
          <w:rFonts w:ascii="宋体" w:hAnsi="宋体" w:eastAsia="宋体" w:cs="宋体"/>
          <w:spacing w:val="-8"/>
          <w:sz w:val="22"/>
          <w:szCs w:val="22"/>
        </w:rPr>
        <w:t>公开表 4</w:t>
      </w:r>
    </w:p>
    <w:tbl>
      <w:tblPr>
        <w:tblStyle w:val="30"/>
        <w:tblW w:w="8340" w:type="dxa"/>
        <w:tblInd w:w="2" w:type="dxa"/>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
      <w:tblGrid>
        <w:gridCol w:w="331"/>
        <w:gridCol w:w="326"/>
        <w:gridCol w:w="326"/>
        <w:gridCol w:w="1186"/>
        <w:gridCol w:w="2331"/>
        <w:gridCol w:w="613"/>
        <w:gridCol w:w="1186"/>
        <w:gridCol w:w="2041"/>
      </w:tblGrid>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48" w:hRule="atLeast"/>
        </w:trPr>
        <w:tc>
          <w:tcPr>
            <w:tcW w:w="8340" w:type="dxa"/>
            <w:gridSpan w:val="8"/>
            <w:tcBorders>
              <w:top w:val="single" w:color="FFFFFF" w:sz="2" w:space="0"/>
              <w:left w:val="single" w:color="FFFFFF" w:sz="2" w:space="0"/>
              <w:bottom w:val="single" w:color="FFFFFF" w:sz="2" w:space="0"/>
              <w:right w:val="single" w:color="FFFFFF" w:sz="2" w:space="0"/>
            </w:tcBorders>
            <w:vAlign w:val="top"/>
          </w:tcPr>
          <w:p>
            <w:pPr>
              <w:spacing w:before="173" w:line="225" w:lineRule="auto"/>
              <w:ind w:left="2574"/>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政府性基金预算支出</w:t>
            </w:r>
            <w:r>
              <w:rPr>
                <w:rFonts w:ascii="宋体" w:hAnsi="宋体" w:eastAsia="宋体" w:cs="宋体"/>
                <w:spacing w:val="9"/>
                <w:sz w:val="31"/>
                <w:szCs w:val="31"/>
                <w14:textOutline w14:w="5793" w14:cap="sq" w14:cmpd="sng">
                  <w14:solidFill>
                    <w14:srgbClr w14:val="000000"/>
                  </w14:solidFill>
                  <w14:prstDash w14:val="solid"/>
                  <w14:bevel/>
                </w14:textOutline>
              </w:rPr>
              <w:t>表</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11" w:hRule="atLeast"/>
        </w:trPr>
        <w:tc>
          <w:tcPr>
            <w:tcW w:w="4500" w:type="dxa"/>
            <w:gridSpan w:val="5"/>
            <w:tcBorders>
              <w:top w:val="single" w:color="FFFFFF" w:sz="2" w:space="0"/>
              <w:left w:val="single" w:color="FFFFFF" w:sz="2" w:space="0"/>
              <w:right w:val="single" w:color="FFFFFF" w:sz="2" w:space="0"/>
            </w:tcBorders>
            <w:vAlign w:val="top"/>
          </w:tcPr>
          <w:p>
            <w:pPr>
              <w:spacing w:before="99" w:line="222" w:lineRule="auto"/>
              <w:ind w:left="25"/>
              <w:rPr>
                <w:rFonts w:hint="eastAsia" w:ascii="宋体" w:hAnsi="宋体" w:eastAsia="宋体" w:cs="宋体"/>
                <w:sz w:val="22"/>
                <w:szCs w:val="22"/>
                <w:lang w:eastAsia="zh-CN"/>
              </w:rPr>
            </w:pPr>
            <w:r>
              <w:rPr>
                <w:rFonts w:ascii="宋体" w:hAnsi="宋体" w:eastAsia="宋体" w:cs="宋体"/>
                <w:spacing w:val="-1"/>
                <w:sz w:val="22"/>
                <w:szCs w:val="22"/>
              </w:rPr>
              <w:t>单位：</w:t>
            </w:r>
            <w:r>
              <w:rPr>
                <w:rFonts w:hint="eastAsia" w:ascii="宋体" w:hAnsi="宋体" w:eastAsia="宋体" w:cs="宋体"/>
                <w:spacing w:val="-1"/>
                <w:sz w:val="22"/>
                <w:szCs w:val="22"/>
                <w:lang w:eastAsia="zh-CN"/>
              </w:rPr>
              <w:t>夹江县交通运输局</w:t>
            </w:r>
          </w:p>
        </w:tc>
        <w:tc>
          <w:tcPr>
            <w:tcW w:w="613" w:type="dxa"/>
            <w:tcBorders>
              <w:top w:val="single" w:color="FFFFFF" w:sz="2" w:space="0"/>
              <w:left w:val="single" w:color="FFFFFF" w:sz="2" w:space="0"/>
              <w:right w:val="single" w:color="FFFFFF" w:sz="2" w:space="0"/>
            </w:tcBorders>
            <w:vAlign w:val="top"/>
          </w:tcPr>
          <w:p>
            <w:pPr>
              <w:rPr>
                <w:rFonts w:ascii="Arial"/>
                <w:sz w:val="21"/>
              </w:rPr>
            </w:pPr>
          </w:p>
        </w:tc>
        <w:tc>
          <w:tcPr>
            <w:tcW w:w="1186" w:type="dxa"/>
            <w:tcBorders>
              <w:top w:val="single" w:color="FFFFFF" w:sz="2" w:space="0"/>
              <w:left w:val="single" w:color="FFFFFF" w:sz="2" w:space="0"/>
              <w:right w:val="single" w:color="FFFFFF" w:sz="2" w:space="0"/>
            </w:tcBorders>
            <w:vAlign w:val="top"/>
          </w:tcPr>
          <w:p>
            <w:pPr>
              <w:rPr>
                <w:rFonts w:ascii="Arial"/>
                <w:sz w:val="21"/>
              </w:rPr>
            </w:pPr>
          </w:p>
        </w:tc>
        <w:tc>
          <w:tcPr>
            <w:tcW w:w="2041" w:type="dxa"/>
            <w:tcBorders>
              <w:top w:val="single" w:color="FFFFFF" w:sz="2" w:space="0"/>
              <w:left w:val="single" w:color="FFFFFF" w:sz="2" w:space="0"/>
              <w:right w:val="single" w:color="FFFFFF" w:sz="2" w:space="0"/>
            </w:tcBorders>
            <w:vAlign w:val="top"/>
          </w:tcPr>
          <w:p>
            <w:pPr>
              <w:spacing w:before="99" w:line="221" w:lineRule="auto"/>
              <w:ind w:left="258"/>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07" w:hRule="atLeast"/>
        </w:trPr>
        <w:tc>
          <w:tcPr>
            <w:tcW w:w="4500" w:type="dxa"/>
            <w:gridSpan w:val="5"/>
            <w:shd w:val="clear" w:color="auto" w:fill="EFF2F7"/>
            <w:vAlign w:val="top"/>
          </w:tcPr>
          <w:p>
            <w:pPr>
              <w:spacing w:before="149" w:line="222" w:lineRule="auto"/>
              <w:ind w:left="1819"/>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项</w:t>
            </w:r>
            <w:r>
              <w:rPr>
                <w:rFonts w:ascii="宋体" w:hAnsi="宋体" w:eastAsia="宋体" w:cs="宋体"/>
                <w:spacing w:val="7"/>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目</w:t>
            </w:r>
          </w:p>
        </w:tc>
        <w:tc>
          <w:tcPr>
            <w:tcW w:w="3840" w:type="dxa"/>
            <w:gridSpan w:val="3"/>
            <w:shd w:val="clear" w:color="auto" w:fill="EFF2F7"/>
            <w:vAlign w:val="top"/>
          </w:tcPr>
          <w:p>
            <w:pPr>
              <w:spacing w:before="149" w:line="220" w:lineRule="auto"/>
              <w:ind w:left="715"/>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本</w:t>
            </w:r>
            <w:r>
              <w:rPr>
                <w:rFonts w:ascii="宋体" w:hAnsi="宋体" w:eastAsia="宋体" w:cs="宋体"/>
                <w:sz w:val="22"/>
                <w:szCs w:val="22"/>
                <w14:textOutline w14:w="4013" w14:cap="sq" w14:cmpd="sng">
                  <w14:solidFill>
                    <w14:srgbClr w14:val="000000"/>
                  </w14:solidFill>
                  <w14:prstDash w14:val="solid"/>
                  <w14:bevel/>
                </w14:textOutline>
              </w:rPr>
              <w:t>年政府性基金预算支出</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07" w:hRule="atLeast"/>
        </w:trPr>
        <w:tc>
          <w:tcPr>
            <w:tcW w:w="983" w:type="dxa"/>
            <w:gridSpan w:val="3"/>
            <w:tcBorders>
              <w:top w:val="single" w:color="C0C0C0" w:sz="2" w:space="0"/>
              <w:left w:val="single" w:color="C0C0C0" w:sz="2" w:space="0"/>
              <w:bottom w:val="single" w:color="C0C0C0" w:sz="2" w:space="0"/>
              <w:right w:val="single" w:color="C0C0C0" w:sz="2" w:space="0"/>
            </w:tcBorders>
            <w:shd w:val="clear" w:color="auto" w:fill="EFF2F7"/>
            <w:vAlign w:val="top"/>
          </w:tcPr>
          <w:p>
            <w:pPr>
              <w:spacing w:before="151" w:line="220" w:lineRule="auto"/>
              <w:ind w:left="57"/>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科目</w:t>
            </w:r>
            <w:r>
              <w:rPr>
                <w:rFonts w:ascii="宋体" w:hAnsi="宋体" w:eastAsia="宋体" w:cs="宋体"/>
                <w:spacing w:val="-1"/>
                <w:sz w:val="22"/>
                <w:szCs w:val="22"/>
                <w14:textOutline w14:w="4013" w14:cap="sq" w14:cmpd="sng">
                  <w14:solidFill>
                    <w14:srgbClr w14:val="000000"/>
                  </w14:solidFill>
                  <w14:prstDash w14:val="solid"/>
                  <w14:bevel/>
                </w14:textOutline>
              </w:rPr>
              <w:t>编码</w:t>
            </w:r>
          </w:p>
        </w:tc>
        <w:tc>
          <w:tcPr>
            <w:tcW w:w="1186" w:type="dxa"/>
            <w:vMerge w:val="restart"/>
            <w:tcBorders>
              <w:bottom w:val="nil"/>
            </w:tcBorders>
            <w:shd w:val="clear" w:color="auto" w:fill="EFF2F7"/>
            <w:vAlign w:val="top"/>
          </w:tcPr>
          <w:p>
            <w:pPr>
              <w:spacing w:line="334" w:lineRule="auto"/>
              <w:rPr>
                <w:rFonts w:ascii="Arial"/>
                <w:sz w:val="21"/>
              </w:rPr>
            </w:pPr>
          </w:p>
          <w:p>
            <w:pPr>
              <w:spacing w:before="71" w:line="221" w:lineRule="auto"/>
              <w:ind w:left="158"/>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单位代</w:t>
            </w:r>
            <w:r>
              <w:rPr>
                <w:rFonts w:ascii="宋体" w:hAnsi="宋体" w:eastAsia="宋体" w:cs="宋体"/>
                <w:spacing w:val="-1"/>
                <w:sz w:val="22"/>
                <w:szCs w:val="22"/>
                <w14:textOutline w14:w="4013" w14:cap="sq" w14:cmpd="sng">
                  <w14:solidFill>
                    <w14:srgbClr w14:val="000000"/>
                  </w14:solidFill>
                  <w14:prstDash w14:val="solid"/>
                  <w14:bevel/>
                </w14:textOutline>
              </w:rPr>
              <w:t>码</w:t>
            </w:r>
          </w:p>
        </w:tc>
        <w:tc>
          <w:tcPr>
            <w:tcW w:w="2331" w:type="dxa"/>
            <w:vMerge w:val="restart"/>
            <w:tcBorders>
              <w:bottom w:val="nil"/>
            </w:tcBorders>
            <w:shd w:val="clear" w:color="auto" w:fill="EFF2F7"/>
            <w:vAlign w:val="top"/>
          </w:tcPr>
          <w:p>
            <w:pPr>
              <w:spacing w:line="334" w:lineRule="auto"/>
              <w:rPr>
                <w:rFonts w:ascii="Arial"/>
                <w:sz w:val="21"/>
              </w:rPr>
            </w:pPr>
          </w:p>
          <w:p>
            <w:pPr>
              <w:spacing w:before="72" w:line="220" w:lineRule="auto"/>
              <w:ind w:left="292"/>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单位名称</w:t>
            </w:r>
            <w:r>
              <w:rPr>
                <w:rFonts w:ascii="宋体" w:hAnsi="宋体" w:eastAsia="宋体" w:cs="宋体"/>
                <w:spacing w:val="-1"/>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(科目)</w:t>
            </w:r>
          </w:p>
        </w:tc>
        <w:tc>
          <w:tcPr>
            <w:tcW w:w="613" w:type="dxa"/>
            <w:vMerge w:val="restart"/>
            <w:tcBorders>
              <w:bottom w:val="nil"/>
            </w:tcBorders>
            <w:shd w:val="clear" w:color="auto" w:fill="EFF2F7"/>
            <w:vAlign w:val="top"/>
          </w:tcPr>
          <w:p>
            <w:pPr>
              <w:spacing w:line="334" w:lineRule="auto"/>
              <w:rPr>
                <w:rFonts w:ascii="Arial"/>
                <w:sz w:val="21"/>
              </w:rPr>
            </w:pPr>
          </w:p>
          <w:p>
            <w:pPr>
              <w:spacing w:before="72" w:line="222" w:lineRule="auto"/>
              <w:ind w:left="93"/>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1186" w:type="dxa"/>
            <w:vMerge w:val="restart"/>
            <w:tcBorders>
              <w:bottom w:val="nil"/>
            </w:tcBorders>
            <w:shd w:val="clear" w:color="auto" w:fill="EFF2F7"/>
            <w:vAlign w:val="top"/>
          </w:tcPr>
          <w:p>
            <w:pPr>
              <w:spacing w:line="334" w:lineRule="auto"/>
              <w:rPr>
                <w:rFonts w:ascii="Arial"/>
                <w:sz w:val="21"/>
              </w:rPr>
            </w:pPr>
          </w:p>
          <w:p>
            <w:pPr>
              <w:spacing w:before="72" w:line="220" w:lineRule="auto"/>
              <w:ind w:left="159"/>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基本</w:t>
            </w:r>
            <w:r>
              <w:rPr>
                <w:rFonts w:ascii="宋体" w:hAnsi="宋体" w:eastAsia="宋体" w:cs="宋体"/>
                <w:spacing w:val="-1"/>
                <w:sz w:val="22"/>
                <w:szCs w:val="22"/>
                <w14:textOutline w14:w="4013" w14:cap="sq" w14:cmpd="sng">
                  <w14:solidFill>
                    <w14:srgbClr w14:val="000000"/>
                  </w14:solidFill>
                  <w14:prstDash w14:val="solid"/>
                  <w14:bevel/>
                </w14:textOutline>
              </w:rPr>
              <w:t>支出</w:t>
            </w:r>
          </w:p>
        </w:tc>
        <w:tc>
          <w:tcPr>
            <w:tcW w:w="2041" w:type="dxa"/>
            <w:vMerge w:val="restart"/>
            <w:tcBorders>
              <w:bottom w:val="nil"/>
            </w:tcBorders>
            <w:shd w:val="clear" w:color="auto" w:fill="EFF2F7"/>
            <w:vAlign w:val="top"/>
          </w:tcPr>
          <w:p>
            <w:pPr>
              <w:spacing w:line="333" w:lineRule="auto"/>
              <w:rPr>
                <w:rFonts w:ascii="Arial"/>
                <w:sz w:val="21"/>
              </w:rPr>
            </w:pPr>
          </w:p>
          <w:p>
            <w:pPr>
              <w:spacing w:before="72" w:line="222" w:lineRule="auto"/>
              <w:ind w:left="589"/>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项</w:t>
            </w:r>
            <w:r>
              <w:rPr>
                <w:rFonts w:ascii="宋体" w:hAnsi="宋体" w:eastAsia="宋体" w:cs="宋体"/>
                <w:spacing w:val="-2"/>
                <w:sz w:val="22"/>
                <w:szCs w:val="22"/>
                <w14:textOutline w14:w="4013" w14:cap="sq" w14:cmpd="sng">
                  <w14:solidFill>
                    <w14:srgbClr w14:val="000000"/>
                  </w14:solidFill>
                  <w14:prstDash w14:val="solid"/>
                  <w14:bevel/>
                </w14:textOutline>
              </w:rPr>
              <w:t>目支出</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07" w:hRule="atLeast"/>
        </w:trPr>
        <w:tc>
          <w:tcPr>
            <w:tcW w:w="331" w:type="dxa"/>
            <w:shd w:val="clear" w:color="auto" w:fill="EFF2F7"/>
            <w:vAlign w:val="top"/>
          </w:tcPr>
          <w:p>
            <w:pPr>
              <w:spacing w:before="152" w:line="221" w:lineRule="auto"/>
              <w:ind w:left="61"/>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类</w:t>
            </w:r>
          </w:p>
        </w:tc>
        <w:tc>
          <w:tcPr>
            <w:tcW w:w="326" w:type="dxa"/>
            <w:shd w:val="clear" w:color="auto" w:fill="EFF2F7"/>
            <w:vAlign w:val="top"/>
          </w:tcPr>
          <w:p>
            <w:pPr>
              <w:spacing w:before="153" w:line="222" w:lineRule="auto"/>
              <w:ind w:left="58"/>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款</w:t>
            </w:r>
          </w:p>
        </w:tc>
        <w:tc>
          <w:tcPr>
            <w:tcW w:w="326" w:type="dxa"/>
            <w:shd w:val="clear" w:color="auto" w:fill="EFF2F7"/>
            <w:vAlign w:val="top"/>
          </w:tcPr>
          <w:p>
            <w:pPr>
              <w:spacing w:before="152" w:line="222" w:lineRule="auto"/>
              <w:ind w:left="58"/>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项</w:t>
            </w:r>
          </w:p>
        </w:tc>
        <w:tc>
          <w:tcPr>
            <w:tcW w:w="1186" w:type="dxa"/>
            <w:vMerge w:val="continue"/>
            <w:tcBorders>
              <w:top w:val="nil"/>
            </w:tcBorders>
            <w:vAlign w:val="top"/>
          </w:tcPr>
          <w:p>
            <w:pPr>
              <w:rPr>
                <w:rFonts w:ascii="Arial"/>
                <w:sz w:val="21"/>
              </w:rPr>
            </w:pPr>
          </w:p>
        </w:tc>
        <w:tc>
          <w:tcPr>
            <w:tcW w:w="2331" w:type="dxa"/>
            <w:vMerge w:val="continue"/>
            <w:tcBorders>
              <w:top w:val="nil"/>
            </w:tcBorders>
            <w:vAlign w:val="top"/>
          </w:tcPr>
          <w:p>
            <w:pPr>
              <w:rPr>
                <w:rFonts w:ascii="Arial"/>
                <w:sz w:val="21"/>
              </w:rPr>
            </w:pPr>
          </w:p>
        </w:tc>
        <w:tc>
          <w:tcPr>
            <w:tcW w:w="613" w:type="dxa"/>
            <w:vMerge w:val="continue"/>
            <w:tcBorders>
              <w:top w:val="nil"/>
            </w:tcBorders>
            <w:vAlign w:val="top"/>
          </w:tcPr>
          <w:p>
            <w:pPr>
              <w:rPr>
                <w:rFonts w:ascii="Arial"/>
                <w:sz w:val="21"/>
              </w:rPr>
            </w:pPr>
          </w:p>
        </w:tc>
        <w:tc>
          <w:tcPr>
            <w:tcW w:w="1186" w:type="dxa"/>
            <w:vMerge w:val="continue"/>
            <w:tcBorders>
              <w:top w:val="nil"/>
            </w:tcBorders>
            <w:vAlign w:val="top"/>
          </w:tcPr>
          <w:p>
            <w:pPr>
              <w:rPr>
                <w:rFonts w:ascii="Arial"/>
                <w:sz w:val="21"/>
              </w:rPr>
            </w:pPr>
          </w:p>
        </w:tc>
        <w:tc>
          <w:tcPr>
            <w:tcW w:w="2041" w:type="dxa"/>
            <w:vMerge w:val="continue"/>
            <w:tcBorders>
              <w:top w:val="nil"/>
            </w:tcBorders>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75" w:hRule="atLeast"/>
        </w:trPr>
        <w:tc>
          <w:tcPr>
            <w:tcW w:w="331" w:type="dxa"/>
            <w:vAlign w:val="top"/>
          </w:tcPr>
          <w:p>
            <w:pPr>
              <w:rPr>
                <w:rFonts w:ascii="Arial"/>
                <w:sz w:val="21"/>
              </w:rPr>
            </w:pPr>
          </w:p>
        </w:tc>
        <w:tc>
          <w:tcPr>
            <w:tcW w:w="326" w:type="dxa"/>
            <w:vAlign w:val="top"/>
          </w:tcPr>
          <w:p>
            <w:pPr>
              <w:rPr>
                <w:rFonts w:ascii="Arial"/>
                <w:sz w:val="21"/>
              </w:rPr>
            </w:pPr>
          </w:p>
        </w:tc>
        <w:tc>
          <w:tcPr>
            <w:tcW w:w="326" w:type="dxa"/>
            <w:vAlign w:val="top"/>
          </w:tcPr>
          <w:p>
            <w:pPr>
              <w:rPr>
                <w:rFonts w:ascii="Arial"/>
                <w:sz w:val="21"/>
              </w:rPr>
            </w:pPr>
          </w:p>
        </w:tc>
        <w:tc>
          <w:tcPr>
            <w:tcW w:w="1186" w:type="dxa"/>
            <w:vAlign w:val="top"/>
          </w:tcPr>
          <w:p>
            <w:pPr>
              <w:rPr>
                <w:rFonts w:ascii="Arial"/>
                <w:sz w:val="21"/>
              </w:rPr>
            </w:pPr>
          </w:p>
        </w:tc>
        <w:tc>
          <w:tcPr>
            <w:tcW w:w="2331" w:type="dxa"/>
            <w:vAlign w:val="top"/>
          </w:tcPr>
          <w:p>
            <w:pPr>
              <w:spacing w:before="137" w:line="222" w:lineRule="auto"/>
              <w:ind w:left="730"/>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合</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计</w:t>
            </w:r>
          </w:p>
        </w:tc>
        <w:tc>
          <w:tcPr>
            <w:tcW w:w="613" w:type="dxa"/>
            <w:vAlign w:val="top"/>
          </w:tcPr>
          <w:p>
            <w:pPr>
              <w:rPr>
                <w:rFonts w:ascii="Arial"/>
                <w:sz w:val="21"/>
              </w:rPr>
            </w:pPr>
          </w:p>
        </w:tc>
        <w:tc>
          <w:tcPr>
            <w:tcW w:w="1186" w:type="dxa"/>
            <w:vAlign w:val="top"/>
          </w:tcPr>
          <w:p>
            <w:pPr>
              <w:rPr>
                <w:rFonts w:ascii="Arial"/>
                <w:sz w:val="21"/>
              </w:rPr>
            </w:pPr>
          </w:p>
        </w:tc>
        <w:tc>
          <w:tcPr>
            <w:tcW w:w="204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80" w:hRule="atLeast"/>
        </w:trPr>
        <w:tc>
          <w:tcPr>
            <w:tcW w:w="331" w:type="dxa"/>
            <w:vAlign w:val="top"/>
          </w:tcPr>
          <w:p>
            <w:pPr>
              <w:rPr>
                <w:rFonts w:ascii="Arial"/>
                <w:sz w:val="21"/>
              </w:rPr>
            </w:pPr>
          </w:p>
        </w:tc>
        <w:tc>
          <w:tcPr>
            <w:tcW w:w="326" w:type="dxa"/>
            <w:vAlign w:val="top"/>
          </w:tcPr>
          <w:p>
            <w:pPr>
              <w:rPr>
                <w:rFonts w:ascii="Arial"/>
                <w:sz w:val="21"/>
              </w:rPr>
            </w:pPr>
          </w:p>
        </w:tc>
        <w:tc>
          <w:tcPr>
            <w:tcW w:w="326" w:type="dxa"/>
            <w:vAlign w:val="top"/>
          </w:tcPr>
          <w:p>
            <w:pPr>
              <w:rPr>
                <w:rFonts w:ascii="Arial"/>
                <w:sz w:val="21"/>
              </w:rPr>
            </w:pPr>
          </w:p>
        </w:tc>
        <w:tc>
          <w:tcPr>
            <w:tcW w:w="1186" w:type="dxa"/>
            <w:vAlign w:val="top"/>
          </w:tcPr>
          <w:p>
            <w:pPr>
              <w:rPr>
                <w:rFonts w:ascii="Arial"/>
                <w:sz w:val="21"/>
              </w:rPr>
            </w:pPr>
          </w:p>
        </w:tc>
        <w:tc>
          <w:tcPr>
            <w:tcW w:w="2331" w:type="dxa"/>
            <w:vAlign w:val="top"/>
          </w:tcPr>
          <w:p>
            <w:pPr>
              <w:rPr>
                <w:rFonts w:ascii="Arial"/>
                <w:sz w:val="21"/>
              </w:rPr>
            </w:pPr>
          </w:p>
        </w:tc>
        <w:tc>
          <w:tcPr>
            <w:tcW w:w="613" w:type="dxa"/>
            <w:vAlign w:val="top"/>
          </w:tcPr>
          <w:p>
            <w:pPr>
              <w:rPr>
                <w:rFonts w:ascii="Arial"/>
                <w:sz w:val="21"/>
              </w:rPr>
            </w:pPr>
          </w:p>
        </w:tc>
        <w:tc>
          <w:tcPr>
            <w:tcW w:w="1186" w:type="dxa"/>
            <w:vAlign w:val="top"/>
          </w:tcPr>
          <w:p>
            <w:pPr>
              <w:rPr>
                <w:rFonts w:ascii="Arial"/>
                <w:sz w:val="21"/>
              </w:rPr>
            </w:pPr>
          </w:p>
        </w:tc>
        <w:tc>
          <w:tcPr>
            <w:tcW w:w="2041" w:type="dxa"/>
            <w:vAlign w:val="top"/>
          </w:tcPr>
          <w:p>
            <w:pPr>
              <w:rPr>
                <w:rFonts w:ascii="Arial"/>
                <w:sz w:val="21"/>
              </w:rPr>
            </w:pPr>
          </w:p>
        </w:tc>
      </w:tr>
    </w:tbl>
    <w:p>
      <w:pPr>
        <w:spacing w:before="107" w:line="221" w:lineRule="auto"/>
        <w:ind w:left="35"/>
        <w:rPr>
          <w:rFonts w:ascii="宋体" w:hAnsi="宋体" w:eastAsia="宋体" w:cs="宋体"/>
          <w:sz w:val="22"/>
          <w:szCs w:val="22"/>
        </w:rPr>
      </w:pPr>
      <w:r>
        <w:rPr>
          <w:rFonts w:ascii="宋体" w:hAnsi="宋体" w:eastAsia="宋体" w:cs="宋体"/>
          <w:spacing w:val="-2"/>
          <w:sz w:val="22"/>
          <w:szCs w:val="22"/>
        </w:rPr>
        <w:t>空表说明：</w:t>
      </w:r>
      <w:r>
        <w:rPr>
          <w:rFonts w:ascii="宋体" w:hAnsi="宋体" w:eastAsia="宋体" w:cs="宋体"/>
          <w:spacing w:val="-1"/>
          <w:sz w:val="22"/>
          <w:szCs w:val="22"/>
        </w:rPr>
        <w:t>无此项内容</w:t>
      </w:r>
    </w:p>
    <w:p>
      <w:pPr>
        <w:sectPr>
          <w:footerReference r:id="rId25" w:type="default"/>
          <w:pgSz w:w="11906" w:h="16839"/>
          <w:pgMar w:top="1431" w:right="1780" w:bottom="855" w:left="1780" w:header="0" w:footer="575" w:gutter="0"/>
          <w:cols w:space="720" w:num="1"/>
        </w:sectPr>
      </w:pPr>
    </w:p>
    <w:p>
      <w:pPr>
        <w:spacing w:line="293" w:lineRule="auto"/>
        <w:rPr>
          <w:rFonts w:ascii="Arial"/>
          <w:sz w:val="21"/>
        </w:rPr>
      </w:pPr>
    </w:p>
    <w:p>
      <w:pPr>
        <w:spacing w:before="71" w:line="222" w:lineRule="auto"/>
        <w:jc w:val="right"/>
        <w:rPr>
          <w:rFonts w:ascii="宋体" w:hAnsi="宋体" w:eastAsia="宋体" w:cs="宋体"/>
          <w:sz w:val="22"/>
          <w:szCs w:val="22"/>
        </w:rPr>
      </w:pPr>
      <w:r>
        <w:rPr>
          <w:rFonts w:ascii="宋体" w:hAnsi="宋体" w:eastAsia="宋体" w:cs="宋体"/>
          <w:spacing w:val="-7"/>
          <w:sz w:val="22"/>
          <w:szCs w:val="22"/>
        </w:rPr>
        <w:t>公开表 4-1</w:t>
      </w:r>
    </w:p>
    <w:p/>
    <w:p>
      <w:pPr>
        <w:spacing w:line="72" w:lineRule="exact"/>
      </w:pPr>
    </w:p>
    <w:tbl>
      <w:tblPr>
        <w:tblStyle w:val="30"/>
        <w:tblW w:w="8340" w:type="dxa"/>
        <w:tblInd w:w="2" w:type="dxa"/>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
      <w:tblGrid>
        <w:gridCol w:w="789"/>
        <w:gridCol w:w="1541"/>
        <w:gridCol w:w="405"/>
        <w:gridCol w:w="1142"/>
        <w:gridCol w:w="405"/>
        <w:gridCol w:w="1353"/>
        <w:gridCol w:w="1352"/>
        <w:gridCol w:w="1353"/>
      </w:tblGrid>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91" w:hRule="atLeast"/>
        </w:trPr>
        <w:tc>
          <w:tcPr>
            <w:tcW w:w="8340" w:type="dxa"/>
            <w:gridSpan w:val="8"/>
            <w:tcBorders>
              <w:top w:val="single" w:color="FFFFFF" w:sz="2" w:space="0"/>
              <w:left w:val="single" w:color="FFFFFF" w:sz="2" w:space="0"/>
              <w:bottom w:val="nil"/>
              <w:right w:val="single" w:color="FFFFFF" w:sz="2" w:space="0"/>
            </w:tcBorders>
            <w:vAlign w:val="top"/>
          </w:tcPr>
          <w:p>
            <w:pPr>
              <w:spacing w:before="172" w:line="225" w:lineRule="auto"/>
              <w:ind w:left="1290"/>
              <w:rPr>
                <w:rFonts w:ascii="宋体" w:hAnsi="宋体" w:eastAsia="宋体" w:cs="宋体"/>
                <w:sz w:val="31"/>
                <w:szCs w:val="31"/>
              </w:rPr>
            </w:pPr>
            <w:r>
              <w:rPr>
                <w:rFonts w:ascii="宋体" w:hAnsi="宋体" w:eastAsia="宋体" w:cs="宋体"/>
                <w:spacing w:val="17"/>
                <w:sz w:val="31"/>
                <w:szCs w:val="31"/>
                <w14:textOutline w14:w="5793" w14:cap="sq" w14:cmpd="sng">
                  <w14:solidFill>
                    <w14:srgbClr w14:val="000000"/>
                  </w14:solidFill>
                  <w14:prstDash w14:val="solid"/>
                  <w14:bevel/>
                </w14:textOutline>
              </w:rPr>
              <w:t>政</w:t>
            </w:r>
            <w:r>
              <w:rPr>
                <w:rFonts w:ascii="宋体" w:hAnsi="宋体" w:eastAsia="宋体" w:cs="宋体"/>
                <w:spacing w:val="10"/>
                <w:sz w:val="31"/>
                <w:szCs w:val="31"/>
                <w14:textOutline w14:w="5793" w14:cap="sq" w14:cmpd="sng">
                  <w14:solidFill>
                    <w14:srgbClr w14:val="000000"/>
                  </w14:solidFill>
                  <w14:prstDash w14:val="solid"/>
                  <w14:bevel/>
                </w14:textOutline>
              </w:rPr>
              <w:t>府性基金预算“三公”经费支出预算表</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369" w:hRule="atLeast"/>
        </w:trPr>
        <w:tc>
          <w:tcPr>
            <w:tcW w:w="2735" w:type="dxa"/>
            <w:gridSpan w:val="3"/>
            <w:tcBorders>
              <w:top w:val="nil"/>
              <w:left w:val="single" w:color="FFFFFF" w:sz="2" w:space="0"/>
              <w:right w:val="nil"/>
            </w:tcBorders>
            <w:vAlign w:val="top"/>
          </w:tcPr>
          <w:p>
            <w:pPr>
              <w:spacing w:before="97" w:line="222" w:lineRule="auto"/>
              <w:ind w:left="25"/>
              <w:rPr>
                <w:rFonts w:hint="eastAsia" w:ascii="宋体" w:hAnsi="宋体" w:eastAsia="宋体" w:cs="宋体"/>
                <w:sz w:val="22"/>
                <w:szCs w:val="22"/>
                <w:lang w:eastAsia="zh-CN"/>
              </w:rPr>
            </w:pPr>
            <w:r>
              <w:rPr>
                <w:rFonts w:ascii="宋体" w:hAnsi="宋体" w:eastAsia="宋体" w:cs="宋体"/>
                <w:spacing w:val="-1"/>
                <w:sz w:val="22"/>
                <w:szCs w:val="22"/>
              </w:rPr>
              <w:t>单位：</w:t>
            </w:r>
          </w:p>
        </w:tc>
        <w:tc>
          <w:tcPr>
            <w:tcW w:w="5605" w:type="dxa"/>
            <w:gridSpan w:val="5"/>
            <w:tcBorders>
              <w:top w:val="nil"/>
              <w:left w:val="nil"/>
              <w:right w:val="single" w:color="FFFFFF" w:sz="2" w:space="0"/>
            </w:tcBorders>
            <w:vAlign w:val="top"/>
          </w:tcPr>
          <w:p>
            <w:pPr>
              <w:spacing w:before="98" w:line="221" w:lineRule="auto"/>
              <w:ind w:right="179"/>
              <w:jc w:val="right"/>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07" w:hRule="atLeast"/>
        </w:trPr>
        <w:tc>
          <w:tcPr>
            <w:tcW w:w="789" w:type="dxa"/>
            <w:vMerge w:val="restart"/>
            <w:tcBorders>
              <w:bottom w:val="nil"/>
            </w:tcBorders>
            <w:shd w:val="clear" w:color="auto" w:fill="EFF2F7"/>
            <w:vAlign w:val="top"/>
          </w:tcPr>
          <w:p>
            <w:pPr>
              <w:spacing w:line="250" w:lineRule="auto"/>
              <w:rPr>
                <w:rFonts w:ascii="Arial"/>
                <w:sz w:val="21"/>
              </w:rPr>
            </w:pPr>
          </w:p>
          <w:p>
            <w:pPr>
              <w:spacing w:line="250" w:lineRule="auto"/>
              <w:rPr>
                <w:rFonts w:ascii="Arial"/>
                <w:sz w:val="21"/>
              </w:rPr>
            </w:pPr>
          </w:p>
          <w:p>
            <w:pPr>
              <w:spacing w:before="71" w:line="277" w:lineRule="auto"/>
              <w:ind w:left="288" w:right="58" w:hanging="215"/>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单</w:t>
            </w:r>
            <w:r>
              <w:rPr>
                <w:rFonts w:ascii="宋体" w:hAnsi="宋体" w:eastAsia="宋体" w:cs="宋体"/>
                <w:spacing w:val="-2"/>
                <w:sz w:val="22"/>
                <w:szCs w:val="22"/>
                <w14:textOutline w14:w="4013" w14:cap="sq" w14:cmpd="sng">
                  <w14:solidFill>
                    <w14:srgbClr w14:val="000000"/>
                  </w14:solidFill>
                  <w14:prstDash w14:val="solid"/>
                  <w14:bevel/>
                </w14:textOutline>
              </w:rPr>
              <w:t>位编</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码</w:t>
            </w:r>
          </w:p>
        </w:tc>
        <w:tc>
          <w:tcPr>
            <w:tcW w:w="1541" w:type="dxa"/>
            <w:vMerge w:val="restart"/>
            <w:tcBorders>
              <w:bottom w:val="nil"/>
            </w:tcBorders>
            <w:shd w:val="clear" w:color="auto" w:fill="EFF2F7"/>
            <w:vAlign w:val="top"/>
          </w:tcPr>
          <w:p>
            <w:pPr>
              <w:spacing w:line="249" w:lineRule="auto"/>
              <w:rPr>
                <w:rFonts w:ascii="Arial"/>
                <w:sz w:val="21"/>
              </w:rPr>
            </w:pPr>
          </w:p>
          <w:p>
            <w:pPr>
              <w:spacing w:line="250" w:lineRule="auto"/>
              <w:rPr>
                <w:rFonts w:ascii="Arial"/>
                <w:sz w:val="21"/>
              </w:rPr>
            </w:pPr>
          </w:p>
          <w:p>
            <w:pPr>
              <w:spacing w:before="71" w:line="277" w:lineRule="auto"/>
              <w:ind w:left="595" w:right="104" w:hanging="479"/>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单位名称</w:t>
            </w:r>
            <w:r>
              <w:rPr>
                <w:rFonts w:ascii="宋体" w:hAnsi="宋体" w:eastAsia="宋体" w:cs="宋体"/>
                <w:spacing w:val="-1"/>
                <w:sz w:val="22"/>
                <w:szCs w:val="22"/>
              </w:rPr>
              <w:t xml:space="preserve"> </w:t>
            </w:r>
            <w:r>
              <w:rPr>
                <w:rFonts w:ascii="宋体" w:hAnsi="宋体" w:eastAsia="宋体" w:cs="宋体"/>
                <w:spacing w:val="-1"/>
                <w:sz w:val="22"/>
                <w:szCs w:val="22"/>
                <w14:textOutline w14:w="4013" w14:cap="sq" w14:cmpd="sng">
                  <w14:solidFill>
                    <w14:srgbClr w14:val="000000"/>
                  </w14:solidFill>
                  <w14:prstDash w14:val="solid"/>
                  <w14:bevel/>
                </w14:textOutline>
              </w:rPr>
              <w:t>(</w:t>
            </w:r>
            <w:r>
              <w:rPr>
                <w:rFonts w:ascii="宋体" w:hAnsi="宋体" w:eastAsia="宋体" w:cs="宋体"/>
                <w:sz w:val="22"/>
                <w:szCs w:val="22"/>
                <w14:textOutline w14:w="4013" w14:cap="sq" w14:cmpd="sng">
                  <w14:solidFill>
                    <w14:srgbClr w14:val="000000"/>
                  </w14:solidFill>
                  <w14:prstDash w14:val="solid"/>
                  <w14:bevel/>
                </w14:textOutline>
              </w:rPr>
              <w:t>科</w:t>
            </w:r>
            <w:r>
              <w:rPr>
                <w:rFonts w:ascii="宋体" w:hAnsi="宋体" w:eastAsia="宋体" w:cs="宋体"/>
                <w:sz w:val="22"/>
                <w:szCs w:val="22"/>
              </w:rPr>
              <w:t xml:space="preserve"> </w:t>
            </w:r>
            <w:r>
              <w:rPr>
                <w:rFonts w:ascii="宋体" w:hAnsi="宋体" w:eastAsia="宋体" w:cs="宋体"/>
                <w:spacing w:val="-9"/>
                <w:sz w:val="22"/>
                <w:szCs w:val="22"/>
                <w14:textOutline w14:w="4013" w14:cap="sq" w14:cmpd="sng">
                  <w14:solidFill>
                    <w14:srgbClr w14:val="000000"/>
                  </w14:solidFill>
                  <w14:prstDash w14:val="solid"/>
                  <w14:bevel/>
                </w14:textOutline>
              </w:rPr>
              <w:t>目)</w:t>
            </w:r>
          </w:p>
        </w:tc>
        <w:tc>
          <w:tcPr>
            <w:tcW w:w="6010" w:type="dxa"/>
            <w:gridSpan w:val="6"/>
            <w:shd w:val="clear" w:color="auto" w:fill="EFF2F7"/>
            <w:vAlign w:val="top"/>
          </w:tcPr>
          <w:p>
            <w:pPr>
              <w:spacing w:before="149" w:line="221" w:lineRule="auto"/>
              <w:ind w:left="1924"/>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当年财政拨</w:t>
            </w:r>
            <w:r>
              <w:rPr>
                <w:rFonts w:ascii="宋体" w:hAnsi="宋体" w:eastAsia="宋体" w:cs="宋体"/>
                <w:spacing w:val="-1"/>
                <w:sz w:val="22"/>
                <w:szCs w:val="22"/>
                <w14:textOutline w14:w="4013" w14:cap="sq" w14:cmpd="sng">
                  <w14:solidFill>
                    <w14:srgbClr w14:val="000000"/>
                  </w14:solidFill>
                  <w14:prstDash w14:val="solid"/>
                  <w14:bevel/>
                </w14:textOutline>
              </w:rPr>
              <w:t>款预算安排</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07" w:hRule="atLeast"/>
        </w:trPr>
        <w:tc>
          <w:tcPr>
            <w:tcW w:w="789" w:type="dxa"/>
            <w:vMerge w:val="continue"/>
            <w:tcBorders>
              <w:top w:val="nil"/>
              <w:bottom w:val="nil"/>
            </w:tcBorders>
            <w:vAlign w:val="top"/>
          </w:tcPr>
          <w:p>
            <w:pPr>
              <w:rPr>
                <w:rFonts w:ascii="Arial"/>
                <w:sz w:val="21"/>
              </w:rPr>
            </w:pPr>
          </w:p>
        </w:tc>
        <w:tc>
          <w:tcPr>
            <w:tcW w:w="1541" w:type="dxa"/>
            <w:vMerge w:val="continue"/>
            <w:tcBorders>
              <w:top w:val="nil"/>
              <w:bottom w:val="nil"/>
            </w:tcBorders>
            <w:vAlign w:val="top"/>
          </w:tcPr>
          <w:p>
            <w:pPr>
              <w:rPr>
                <w:rFonts w:ascii="Arial"/>
                <w:sz w:val="21"/>
              </w:rPr>
            </w:pPr>
          </w:p>
        </w:tc>
        <w:tc>
          <w:tcPr>
            <w:tcW w:w="405" w:type="dxa"/>
            <w:vMerge w:val="restart"/>
            <w:tcBorders>
              <w:bottom w:val="nil"/>
            </w:tcBorders>
            <w:shd w:val="clear" w:color="auto" w:fill="EFF2F7"/>
            <w:textDirection w:val="tbRlV"/>
            <w:vAlign w:val="top"/>
          </w:tcPr>
          <w:p>
            <w:pPr>
              <w:spacing w:before="89" w:line="210" w:lineRule="auto"/>
              <w:ind w:left="318"/>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合</w:t>
            </w:r>
            <w:r>
              <w:rPr>
                <w:rFonts w:ascii="宋体" w:hAnsi="宋体" w:eastAsia="宋体" w:cs="宋体"/>
                <w:spacing w:val="-5"/>
                <w:sz w:val="22"/>
                <w:szCs w:val="22"/>
              </w:rPr>
              <w:t xml:space="preserve"> </w:t>
            </w:r>
            <w:r>
              <w:rPr>
                <w:rFonts w:ascii="宋体" w:hAnsi="宋体" w:eastAsia="宋体" w:cs="宋体"/>
                <w:spacing w:val="-5"/>
                <w:sz w:val="22"/>
                <w:szCs w:val="22"/>
                <w14:textOutline w14:w="4013" w14:cap="sq" w14:cmpd="sng">
                  <w14:solidFill>
                    <w14:srgbClr w14:val="000000"/>
                  </w14:solidFill>
                  <w14:prstDash w14:val="solid"/>
                  <w14:bevel/>
                </w14:textOutline>
              </w:rPr>
              <w:t>计</w:t>
            </w:r>
          </w:p>
        </w:tc>
        <w:tc>
          <w:tcPr>
            <w:tcW w:w="1142" w:type="dxa"/>
            <w:vMerge w:val="restart"/>
            <w:tcBorders>
              <w:bottom w:val="nil"/>
            </w:tcBorders>
            <w:shd w:val="clear" w:color="auto" w:fill="EFF2F7"/>
            <w:vAlign w:val="top"/>
          </w:tcPr>
          <w:p>
            <w:pPr>
              <w:spacing w:line="245" w:lineRule="auto"/>
              <w:rPr>
                <w:rFonts w:ascii="Arial"/>
                <w:sz w:val="21"/>
              </w:rPr>
            </w:pPr>
          </w:p>
          <w:p>
            <w:pPr>
              <w:spacing w:before="71" w:line="276" w:lineRule="auto"/>
              <w:ind w:left="33" w:right="14" w:firstLine="121"/>
              <w:rPr>
                <w:rFonts w:ascii="宋体" w:hAnsi="宋体" w:eastAsia="宋体" w:cs="宋体"/>
                <w:sz w:val="22"/>
                <w:szCs w:val="22"/>
              </w:rPr>
            </w:pPr>
            <w:r>
              <w:rPr>
                <w:rFonts w:ascii="宋体" w:hAnsi="宋体" w:eastAsia="宋体" w:cs="宋体"/>
                <w:spacing w:val="-8"/>
                <w:sz w:val="22"/>
                <w:szCs w:val="22"/>
                <w14:textOutline w14:w="4013" w14:cap="sq" w14:cmpd="sng">
                  <w14:solidFill>
                    <w14:srgbClr w14:val="000000"/>
                  </w14:solidFill>
                  <w14:prstDash w14:val="solid"/>
                  <w14:bevel/>
                </w14:textOutline>
              </w:rPr>
              <w:t>因</w:t>
            </w:r>
            <w:r>
              <w:rPr>
                <w:rFonts w:ascii="宋体" w:hAnsi="宋体" w:eastAsia="宋体" w:cs="宋体"/>
                <w:spacing w:val="-5"/>
                <w:sz w:val="22"/>
                <w:szCs w:val="22"/>
                <w14:textOutline w14:w="4013" w14:cap="sq" w14:cmpd="sng">
                  <w14:solidFill>
                    <w14:srgbClr w14:val="000000"/>
                  </w14:solidFill>
                  <w14:prstDash w14:val="solid"/>
                  <w14:bevel/>
                </w14:textOutline>
              </w:rPr>
              <w:t>公出国</w:t>
            </w:r>
            <w:r>
              <w:rPr>
                <w:rFonts w:ascii="宋体" w:hAnsi="宋体" w:eastAsia="宋体" w:cs="宋体"/>
                <w:sz w:val="22"/>
                <w:szCs w:val="22"/>
              </w:rPr>
              <w:t xml:space="preserve"> </w:t>
            </w:r>
            <w:r>
              <w:rPr>
                <w:rFonts w:ascii="宋体" w:hAnsi="宋体" w:eastAsia="宋体" w:cs="宋体"/>
                <w:spacing w:val="19"/>
                <w:sz w:val="22"/>
                <w:szCs w:val="22"/>
                <w14:textOutline w14:w="4013" w14:cap="sq" w14:cmpd="sng">
                  <w14:solidFill>
                    <w14:srgbClr w14:val="000000"/>
                  </w14:solidFill>
                  <w14:prstDash w14:val="solid"/>
                  <w14:bevel/>
                </w14:textOutline>
              </w:rPr>
              <w:t>(</w:t>
            </w:r>
            <w:r>
              <w:rPr>
                <w:rFonts w:ascii="宋体" w:hAnsi="宋体" w:eastAsia="宋体" w:cs="宋体"/>
                <w:spacing w:val="16"/>
                <w:sz w:val="22"/>
                <w:szCs w:val="22"/>
                <w14:textOutline w14:w="4013" w14:cap="sq" w14:cmpd="sng">
                  <w14:solidFill>
                    <w14:srgbClr w14:val="000000"/>
                  </w14:solidFill>
                  <w14:prstDash w14:val="solid"/>
                  <w14:bevel/>
                </w14:textOutline>
              </w:rPr>
              <w:t>境)</w:t>
            </w:r>
            <w:r>
              <w:rPr>
                <w:rFonts w:ascii="宋体" w:hAnsi="宋体" w:eastAsia="宋体" w:cs="宋体"/>
                <w:spacing w:val="16"/>
                <w:sz w:val="22"/>
                <w:szCs w:val="22"/>
              </w:rPr>
              <w:t xml:space="preserve"> </w:t>
            </w:r>
            <w:r>
              <w:rPr>
                <w:rFonts w:ascii="宋体" w:hAnsi="宋体" w:eastAsia="宋体" w:cs="宋体"/>
                <w:spacing w:val="16"/>
                <w:sz w:val="22"/>
                <w:szCs w:val="22"/>
                <w14:textOutline w14:w="4013" w14:cap="sq" w14:cmpd="sng">
                  <w14:solidFill>
                    <w14:srgbClr w14:val="000000"/>
                  </w14:solidFill>
                  <w14:prstDash w14:val="solid"/>
                  <w14:bevel/>
                </w14:textOutline>
              </w:rPr>
              <w:t>费用</w:t>
            </w:r>
          </w:p>
        </w:tc>
        <w:tc>
          <w:tcPr>
            <w:tcW w:w="3110" w:type="dxa"/>
            <w:gridSpan w:val="3"/>
            <w:shd w:val="clear" w:color="auto" w:fill="EFF2F7"/>
            <w:vAlign w:val="top"/>
          </w:tcPr>
          <w:p>
            <w:pPr>
              <w:spacing w:before="150" w:line="221" w:lineRule="auto"/>
              <w:ind w:left="468"/>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公务用车购置及运</w:t>
            </w:r>
            <w:r>
              <w:rPr>
                <w:rFonts w:ascii="宋体" w:hAnsi="宋体" w:eastAsia="宋体" w:cs="宋体"/>
                <w:sz w:val="22"/>
                <w:szCs w:val="22"/>
                <w14:textOutline w14:w="4013" w14:cap="sq" w14:cmpd="sng">
                  <w14:solidFill>
                    <w14:srgbClr w14:val="000000"/>
                  </w14:solidFill>
                  <w14:prstDash w14:val="solid"/>
                  <w14:bevel/>
                </w14:textOutline>
              </w:rPr>
              <w:t>行费</w:t>
            </w:r>
          </w:p>
        </w:tc>
        <w:tc>
          <w:tcPr>
            <w:tcW w:w="1353" w:type="dxa"/>
            <w:vMerge w:val="restart"/>
            <w:tcBorders>
              <w:bottom w:val="nil"/>
            </w:tcBorders>
            <w:shd w:val="clear" w:color="auto" w:fill="EFF2F7"/>
            <w:vAlign w:val="top"/>
          </w:tcPr>
          <w:p>
            <w:pPr>
              <w:spacing w:line="400" w:lineRule="auto"/>
              <w:rPr>
                <w:rFonts w:ascii="Arial"/>
                <w:sz w:val="21"/>
              </w:rPr>
            </w:pPr>
          </w:p>
          <w:p>
            <w:pPr>
              <w:spacing w:before="72" w:line="221" w:lineRule="auto"/>
              <w:ind w:left="140"/>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公</w:t>
            </w:r>
            <w:r>
              <w:rPr>
                <w:rFonts w:ascii="宋体" w:hAnsi="宋体" w:eastAsia="宋体" w:cs="宋体"/>
                <w:spacing w:val="-2"/>
                <w:sz w:val="22"/>
                <w:szCs w:val="22"/>
                <w14:textOutline w14:w="4013" w14:cap="sq" w14:cmpd="sng">
                  <w14:solidFill>
                    <w14:srgbClr w14:val="000000"/>
                  </w14:solidFill>
                  <w14:prstDash w14:val="solid"/>
                  <w14:bevel/>
                </w14:textOutline>
              </w:rPr>
              <w:t>务接待费</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43" w:hRule="atLeast"/>
        </w:trPr>
        <w:tc>
          <w:tcPr>
            <w:tcW w:w="789" w:type="dxa"/>
            <w:vMerge w:val="continue"/>
            <w:tcBorders>
              <w:top w:val="nil"/>
            </w:tcBorders>
            <w:vAlign w:val="top"/>
          </w:tcPr>
          <w:p>
            <w:pPr>
              <w:rPr>
                <w:rFonts w:ascii="Arial"/>
                <w:sz w:val="21"/>
              </w:rPr>
            </w:pPr>
          </w:p>
        </w:tc>
        <w:tc>
          <w:tcPr>
            <w:tcW w:w="1541" w:type="dxa"/>
            <w:vMerge w:val="continue"/>
            <w:tcBorders>
              <w:top w:val="nil"/>
            </w:tcBorders>
            <w:vAlign w:val="top"/>
          </w:tcPr>
          <w:p>
            <w:pPr>
              <w:rPr>
                <w:rFonts w:ascii="Arial"/>
                <w:sz w:val="21"/>
              </w:rPr>
            </w:pPr>
          </w:p>
        </w:tc>
        <w:tc>
          <w:tcPr>
            <w:tcW w:w="405" w:type="dxa"/>
            <w:vMerge w:val="continue"/>
            <w:tcBorders>
              <w:top w:val="nil"/>
            </w:tcBorders>
            <w:textDirection w:val="tbRlV"/>
            <w:vAlign w:val="top"/>
          </w:tcPr>
          <w:p>
            <w:pPr>
              <w:rPr>
                <w:rFonts w:ascii="Arial"/>
                <w:sz w:val="21"/>
              </w:rPr>
            </w:pPr>
          </w:p>
        </w:tc>
        <w:tc>
          <w:tcPr>
            <w:tcW w:w="1142" w:type="dxa"/>
            <w:vMerge w:val="continue"/>
            <w:tcBorders>
              <w:top w:val="nil"/>
            </w:tcBorders>
            <w:vAlign w:val="top"/>
          </w:tcPr>
          <w:p>
            <w:pPr>
              <w:rPr>
                <w:rFonts w:ascii="Arial"/>
                <w:sz w:val="21"/>
              </w:rPr>
            </w:pPr>
          </w:p>
        </w:tc>
        <w:tc>
          <w:tcPr>
            <w:tcW w:w="405" w:type="dxa"/>
            <w:shd w:val="clear" w:color="auto" w:fill="EFF2F7"/>
            <w:textDirection w:val="tbRlV"/>
            <w:vAlign w:val="top"/>
          </w:tcPr>
          <w:p>
            <w:pPr>
              <w:spacing w:before="88" w:line="210" w:lineRule="auto"/>
              <w:ind w:left="63"/>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小</w:t>
            </w:r>
            <w:r>
              <w:rPr>
                <w:rFonts w:ascii="宋体" w:hAnsi="宋体" w:eastAsia="宋体" w:cs="宋体"/>
                <w:spacing w:val="-5"/>
                <w:sz w:val="22"/>
                <w:szCs w:val="22"/>
              </w:rPr>
              <w:t xml:space="preserve"> </w:t>
            </w:r>
            <w:r>
              <w:rPr>
                <w:rFonts w:ascii="宋体" w:hAnsi="宋体" w:eastAsia="宋体" w:cs="宋体"/>
                <w:spacing w:val="-5"/>
                <w:sz w:val="22"/>
                <w:szCs w:val="22"/>
                <w14:textOutline w14:w="4013" w14:cap="sq" w14:cmpd="sng">
                  <w14:solidFill>
                    <w14:srgbClr w14:val="000000"/>
                  </w14:solidFill>
                  <w14:prstDash w14:val="solid"/>
                  <w14:bevel/>
                </w14:textOutline>
              </w:rPr>
              <w:t>计</w:t>
            </w:r>
          </w:p>
        </w:tc>
        <w:tc>
          <w:tcPr>
            <w:tcW w:w="1353" w:type="dxa"/>
            <w:shd w:val="clear" w:color="auto" w:fill="EFF2F7"/>
            <w:vAlign w:val="top"/>
          </w:tcPr>
          <w:p>
            <w:pPr>
              <w:spacing w:before="62" w:line="242" w:lineRule="auto"/>
              <w:ind w:left="460" w:right="119" w:hanging="320"/>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公</w:t>
            </w:r>
            <w:r>
              <w:rPr>
                <w:rFonts w:ascii="宋体" w:hAnsi="宋体" w:eastAsia="宋体" w:cs="宋体"/>
                <w:spacing w:val="-2"/>
                <w:sz w:val="22"/>
                <w:szCs w:val="22"/>
                <w14:textOutline w14:w="4013" w14:cap="sq" w14:cmpd="sng">
                  <w14:solidFill>
                    <w14:srgbClr w14:val="000000"/>
                  </w14:solidFill>
                  <w14:prstDash w14:val="solid"/>
                  <w14:bevel/>
                </w14:textOutline>
              </w:rPr>
              <w:t>务用车购</w:t>
            </w:r>
            <w:r>
              <w:rPr>
                <w:rFonts w:ascii="宋体" w:hAnsi="宋体" w:eastAsia="宋体" w:cs="宋体"/>
                <w:sz w:val="22"/>
                <w:szCs w:val="22"/>
              </w:rPr>
              <w:t xml:space="preserve"> </w:t>
            </w:r>
            <w:r>
              <w:rPr>
                <w:rFonts w:ascii="宋体" w:hAnsi="宋体" w:eastAsia="宋体" w:cs="宋体"/>
                <w:spacing w:val="-4"/>
                <w:sz w:val="22"/>
                <w:szCs w:val="22"/>
                <w14:textOutline w14:w="4013" w14:cap="sq" w14:cmpd="sng">
                  <w14:solidFill>
                    <w14:srgbClr w14:val="000000"/>
                  </w14:solidFill>
                  <w14:prstDash w14:val="solid"/>
                  <w14:bevel/>
                </w14:textOutline>
              </w:rPr>
              <w:t>置</w:t>
            </w:r>
            <w:r>
              <w:rPr>
                <w:rFonts w:ascii="宋体" w:hAnsi="宋体" w:eastAsia="宋体" w:cs="宋体"/>
                <w:spacing w:val="-2"/>
                <w:sz w:val="22"/>
                <w:szCs w:val="22"/>
                <w14:textOutline w14:w="4013" w14:cap="sq" w14:cmpd="sng">
                  <w14:solidFill>
                    <w14:srgbClr w14:val="000000"/>
                  </w14:solidFill>
                  <w14:prstDash w14:val="solid"/>
                  <w14:bevel/>
                </w14:textOutline>
              </w:rPr>
              <w:t>费</w:t>
            </w:r>
          </w:p>
        </w:tc>
        <w:tc>
          <w:tcPr>
            <w:tcW w:w="1352" w:type="dxa"/>
            <w:shd w:val="clear" w:color="auto" w:fill="EFF2F7"/>
            <w:vAlign w:val="top"/>
          </w:tcPr>
          <w:p>
            <w:pPr>
              <w:spacing w:before="62" w:line="242" w:lineRule="auto"/>
              <w:ind w:left="465" w:right="117" w:hanging="325"/>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公</w:t>
            </w:r>
            <w:r>
              <w:rPr>
                <w:rFonts w:ascii="宋体" w:hAnsi="宋体" w:eastAsia="宋体" w:cs="宋体"/>
                <w:spacing w:val="-2"/>
                <w:sz w:val="22"/>
                <w:szCs w:val="22"/>
                <w14:textOutline w14:w="4013" w14:cap="sq" w14:cmpd="sng">
                  <w14:solidFill>
                    <w14:srgbClr w14:val="000000"/>
                  </w14:solidFill>
                  <w14:prstDash w14:val="solid"/>
                  <w14:bevel/>
                </w14:textOutline>
              </w:rPr>
              <w:t>务用车运</w:t>
            </w:r>
            <w:r>
              <w:rPr>
                <w:rFonts w:ascii="宋体" w:hAnsi="宋体" w:eastAsia="宋体" w:cs="宋体"/>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行</w:t>
            </w:r>
            <w:r>
              <w:rPr>
                <w:rFonts w:ascii="宋体" w:hAnsi="宋体" w:eastAsia="宋体" w:cs="宋体"/>
                <w:spacing w:val="-5"/>
                <w:sz w:val="22"/>
                <w:szCs w:val="22"/>
                <w14:textOutline w14:w="4013" w14:cap="sq" w14:cmpd="sng">
                  <w14:solidFill>
                    <w14:srgbClr w14:val="000000"/>
                  </w14:solidFill>
                  <w14:prstDash w14:val="solid"/>
                  <w14:bevel/>
                </w14:textOutline>
              </w:rPr>
              <w:t>费</w:t>
            </w:r>
          </w:p>
        </w:tc>
        <w:tc>
          <w:tcPr>
            <w:tcW w:w="1353" w:type="dxa"/>
            <w:vMerge w:val="continue"/>
            <w:tcBorders>
              <w:top w:val="nil"/>
            </w:tcBorders>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75" w:hRule="atLeast"/>
        </w:trPr>
        <w:tc>
          <w:tcPr>
            <w:tcW w:w="789" w:type="dxa"/>
            <w:vAlign w:val="top"/>
          </w:tcPr>
          <w:p>
            <w:pPr>
              <w:rPr>
                <w:rFonts w:ascii="Arial"/>
                <w:sz w:val="21"/>
              </w:rPr>
            </w:pPr>
          </w:p>
        </w:tc>
        <w:tc>
          <w:tcPr>
            <w:tcW w:w="1541" w:type="dxa"/>
            <w:vAlign w:val="top"/>
          </w:tcPr>
          <w:p>
            <w:pPr>
              <w:spacing w:before="138" w:line="222" w:lineRule="auto"/>
              <w:ind w:left="336"/>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合</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计</w:t>
            </w:r>
          </w:p>
        </w:tc>
        <w:tc>
          <w:tcPr>
            <w:tcW w:w="405" w:type="dxa"/>
            <w:vAlign w:val="top"/>
          </w:tcPr>
          <w:p>
            <w:pPr>
              <w:rPr>
                <w:rFonts w:ascii="Arial"/>
                <w:sz w:val="21"/>
              </w:rPr>
            </w:pPr>
          </w:p>
        </w:tc>
        <w:tc>
          <w:tcPr>
            <w:tcW w:w="1142" w:type="dxa"/>
            <w:vAlign w:val="top"/>
          </w:tcPr>
          <w:p>
            <w:pPr>
              <w:rPr>
                <w:rFonts w:ascii="Arial"/>
                <w:sz w:val="21"/>
              </w:rPr>
            </w:pPr>
          </w:p>
        </w:tc>
        <w:tc>
          <w:tcPr>
            <w:tcW w:w="405" w:type="dxa"/>
            <w:vAlign w:val="top"/>
          </w:tcPr>
          <w:p>
            <w:pPr>
              <w:rPr>
                <w:rFonts w:ascii="Arial"/>
                <w:sz w:val="21"/>
              </w:rPr>
            </w:pPr>
          </w:p>
        </w:tc>
        <w:tc>
          <w:tcPr>
            <w:tcW w:w="1353" w:type="dxa"/>
            <w:vAlign w:val="top"/>
          </w:tcPr>
          <w:p>
            <w:pPr>
              <w:rPr>
                <w:rFonts w:ascii="Arial"/>
                <w:sz w:val="21"/>
              </w:rPr>
            </w:pPr>
          </w:p>
        </w:tc>
        <w:tc>
          <w:tcPr>
            <w:tcW w:w="1352" w:type="dxa"/>
            <w:vAlign w:val="top"/>
          </w:tcPr>
          <w:p>
            <w:pPr>
              <w:rPr>
                <w:rFonts w:ascii="Arial"/>
                <w:sz w:val="21"/>
              </w:rPr>
            </w:pPr>
          </w:p>
        </w:tc>
        <w:tc>
          <w:tcPr>
            <w:tcW w:w="1353"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80" w:hRule="atLeast"/>
        </w:trPr>
        <w:tc>
          <w:tcPr>
            <w:tcW w:w="789" w:type="dxa"/>
            <w:vAlign w:val="top"/>
          </w:tcPr>
          <w:p>
            <w:pPr>
              <w:rPr>
                <w:rFonts w:ascii="Arial"/>
                <w:sz w:val="21"/>
              </w:rPr>
            </w:pPr>
          </w:p>
        </w:tc>
        <w:tc>
          <w:tcPr>
            <w:tcW w:w="1541" w:type="dxa"/>
            <w:vAlign w:val="top"/>
          </w:tcPr>
          <w:p>
            <w:pPr>
              <w:rPr>
                <w:rFonts w:ascii="Arial"/>
                <w:sz w:val="21"/>
              </w:rPr>
            </w:pPr>
          </w:p>
        </w:tc>
        <w:tc>
          <w:tcPr>
            <w:tcW w:w="405" w:type="dxa"/>
            <w:vAlign w:val="top"/>
          </w:tcPr>
          <w:p>
            <w:pPr>
              <w:rPr>
                <w:rFonts w:ascii="Arial"/>
                <w:sz w:val="21"/>
              </w:rPr>
            </w:pPr>
          </w:p>
        </w:tc>
        <w:tc>
          <w:tcPr>
            <w:tcW w:w="1142" w:type="dxa"/>
            <w:vAlign w:val="top"/>
          </w:tcPr>
          <w:p>
            <w:pPr>
              <w:rPr>
                <w:rFonts w:ascii="Arial"/>
                <w:sz w:val="21"/>
              </w:rPr>
            </w:pPr>
          </w:p>
        </w:tc>
        <w:tc>
          <w:tcPr>
            <w:tcW w:w="405" w:type="dxa"/>
            <w:vAlign w:val="top"/>
          </w:tcPr>
          <w:p>
            <w:pPr>
              <w:rPr>
                <w:rFonts w:ascii="Arial"/>
                <w:sz w:val="21"/>
              </w:rPr>
            </w:pPr>
          </w:p>
        </w:tc>
        <w:tc>
          <w:tcPr>
            <w:tcW w:w="1353" w:type="dxa"/>
            <w:vAlign w:val="top"/>
          </w:tcPr>
          <w:p>
            <w:pPr>
              <w:rPr>
                <w:rFonts w:ascii="Arial"/>
                <w:sz w:val="21"/>
              </w:rPr>
            </w:pPr>
          </w:p>
        </w:tc>
        <w:tc>
          <w:tcPr>
            <w:tcW w:w="1352" w:type="dxa"/>
            <w:vAlign w:val="top"/>
          </w:tcPr>
          <w:p>
            <w:pPr>
              <w:rPr>
                <w:rFonts w:ascii="Arial"/>
                <w:sz w:val="21"/>
              </w:rPr>
            </w:pPr>
          </w:p>
        </w:tc>
        <w:tc>
          <w:tcPr>
            <w:tcW w:w="1353" w:type="dxa"/>
            <w:vAlign w:val="top"/>
          </w:tcPr>
          <w:p>
            <w:pPr>
              <w:rPr>
                <w:rFonts w:ascii="Arial"/>
                <w:sz w:val="21"/>
              </w:rPr>
            </w:pPr>
          </w:p>
        </w:tc>
      </w:tr>
    </w:tbl>
    <w:p>
      <w:pPr>
        <w:spacing w:before="108" w:line="221" w:lineRule="auto"/>
        <w:ind w:left="35"/>
        <w:rPr>
          <w:rFonts w:ascii="宋体" w:hAnsi="宋体" w:eastAsia="宋体" w:cs="宋体"/>
          <w:sz w:val="22"/>
          <w:szCs w:val="22"/>
        </w:rPr>
      </w:pPr>
      <w:r>
        <w:rPr>
          <w:rFonts w:ascii="宋体" w:hAnsi="宋体" w:eastAsia="宋体" w:cs="宋体"/>
          <w:spacing w:val="-2"/>
          <w:sz w:val="22"/>
          <w:szCs w:val="22"/>
        </w:rPr>
        <w:t>空表说明：</w:t>
      </w:r>
      <w:r>
        <w:rPr>
          <w:rFonts w:ascii="宋体" w:hAnsi="宋体" w:eastAsia="宋体" w:cs="宋体"/>
          <w:spacing w:val="-1"/>
          <w:sz w:val="22"/>
          <w:szCs w:val="22"/>
        </w:rPr>
        <w:t>无此项内容</w:t>
      </w:r>
    </w:p>
    <w:p>
      <w:pPr>
        <w:sectPr>
          <w:footerReference r:id="rId26" w:type="default"/>
          <w:pgSz w:w="11906" w:h="16839"/>
          <w:pgMar w:top="1431" w:right="1780" w:bottom="855" w:left="1780" w:header="0" w:footer="575" w:gutter="0"/>
          <w:cols w:space="720" w:num="1"/>
        </w:sectPr>
      </w:pPr>
    </w:p>
    <w:p>
      <w:pPr>
        <w:spacing w:line="293" w:lineRule="auto"/>
        <w:rPr>
          <w:rFonts w:ascii="Arial"/>
          <w:sz w:val="21"/>
        </w:rPr>
      </w:pPr>
    </w:p>
    <w:p>
      <w:pPr>
        <w:spacing w:before="71" w:line="222" w:lineRule="auto"/>
        <w:ind w:right="6"/>
        <w:jc w:val="right"/>
        <w:rPr>
          <w:rFonts w:ascii="宋体" w:hAnsi="宋体" w:eastAsia="宋体" w:cs="宋体"/>
          <w:sz w:val="22"/>
          <w:szCs w:val="22"/>
        </w:rPr>
      </w:pPr>
      <w:r>
        <w:rPr>
          <w:rFonts w:ascii="宋体" w:hAnsi="宋体" w:eastAsia="宋体" w:cs="宋体"/>
          <w:spacing w:val="-7"/>
          <w:sz w:val="22"/>
          <w:szCs w:val="22"/>
        </w:rPr>
        <w:t>公开表 5</w:t>
      </w:r>
    </w:p>
    <w:p>
      <w:pPr>
        <w:spacing w:line="16" w:lineRule="auto"/>
        <w:rPr>
          <w:rFonts w:ascii="Arial"/>
          <w:sz w:val="2"/>
        </w:rPr>
      </w:pPr>
    </w:p>
    <w:tbl>
      <w:tblPr>
        <w:tblStyle w:val="30"/>
        <w:tblW w:w="8340" w:type="dxa"/>
        <w:tblInd w:w="2" w:type="dxa"/>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
      <w:tblGrid>
        <w:gridCol w:w="331"/>
        <w:gridCol w:w="326"/>
        <w:gridCol w:w="326"/>
        <w:gridCol w:w="1186"/>
        <w:gridCol w:w="2331"/>
        <w:gridCol w:w="613"/>
        <w:gridCol w:w="1186"/>
        <w:gridCol w:w="2041"/>
      </w:tblGrid>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48" w:hRule="atLeast"/>
        </w:trPr>
        <w:tc>
          <w:tcPr>
            <w:tcW w:w="8340" w:type="dxa"/>
            <w:gridSpan w:val="8"/>
            <w:tcBorders>
              <w:top w:val="single" w:color="FFFFFF" w:sz="2" w:space="0"/>
              <w:left w:val="single" w:color="FFFFFF" w:sz="2" w:space="0"/>
              <w:bottom w:val="single" w:color="FFFFFF" w:sz="2" w:space="0"/>
              <w:right w:val="single" w:color="FFFFFF" w:sz="2" w:space="0"/>
            </w:tcBorders>
            <w:vAlign w:val="top"/>
          </w:tcPr>
          <w:p>
            <w:pPr>
              <w:spacing w:before="172" w:line="225" w:lineRule="auto"/>
              <w:ind w:left="2446"/>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国</w:t>
            </w:r>
            <w:r>
              <w:rPr>
                <w:rFonts w:ascii="宋体" w:hAnsi="宋体" w:eastAsia="宋体" w:cs="宋体"/>
                <w:spacing w:val="7"/>
                <w:sz w:val="31"/>
                <w:szCs w:val="31"/>
                <w14:textOutline w14:w="5793" w14:cap="sq" w14:cmpd="sng">
                  <w14:solidFill>
                    <w14:srgbClr w14:val="000000"/>
                  </w14:solidFill>
                  <w14:prstDash w14:val="solid"/>
                  <w14:bevel/>
                </w14:textOutline>
              </w:rPr>
              <w:t>有资本经营预算支出表</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11" w:hRule="atLeast"/>
        </w:trPr>
        <w:tc>
          <w:tcPr>
            <w:tcW w:w="4500" w:type="dxa"/>
            <w:gridSpan w:val="5"/>
            <w:tcBorders>
              <w:top w:val="single" w:color="FFFFFF" w:sz="2" w:space="0"/>
              <w:left w:val="single" w:color="FFFFFF" w:sz="2" w:space="0"/>
              <w:right w:val="single" w:color="FFFFFF" w:sz="2" w:space="0"/>
            </w:tcBorders>
            <w:vAlign w:val="top"/>
          </w:tcPr>
          <w:p>
            <w:pPr>
              <w:spacing w:before="100" w:line="222" w:lineRule="auto"/>
              <w:ind w:left="25"/>
              <w:rPr>
                <w:rFonts w:hint="eastAsia" w:ascii="宋体" w:hAnsi="宋体" w:eastAsia="宋体" w:cs="宋体"/>
                <w:sz w:val="22"/>
                <w:szCs w:val="22"/>
                <w:lang w:eastAsia="zh-CN"/>
              </w:rPr>
            </w:pPr>
            <w:r>
              <w:rPr>
                <w:rFonts w:ascii="宋体" w:hAnsi="宋体" w:eastAsia="宋体" w:cs="宋体"/>
                <w:spacing w:val="-1"/>
                <w:sz w:val="22"/>
                <w:szCs w:val="22"/>
              </w:rPr>
              <w:t>单位：</w:t>
            </w:r>
          </w:p>
        </w:tc>
        <w:tc>
          <w:tcPr>
            <w:tcW w:w="613" w:type="dxa"/>
            <w:tcBorders>
              <w:top w:val="single" w:color="FFFFFF" w:sz="2" w:space="0"/>
              <w:left w:val="single" w:color="FFFFFF" w:sz="2" w:space="0"/>
              <w:right w:val="single" w:color="FFFFFF" w:sz="2" w:space="0"/>
            </w:tcBorders>
            <w:vAlign w:val="top"/>
          </w:tcPr>
          <w:p>
            <w:pPr>
              <w:rPr>
                <w:rFonts w:ascii="Arial"/>
                <w:sz w:val="21"/>
              </w:rPr>
            </w:pPr>
          </w:p>
        </w:tc>
        <w:tc>
          <w:tcPr>
            <w:tcW w:w="1186" w:type="dxa"/>
            <w:tcBorders>
              <w:top w:val="single" w:color="FFFFFF" w:sz="2" w:space="0"/>
              <w:left w:val="single" w:color="FFFFFF" w:sz="2" w:space="0"/>
              <w:right w:val="single" w:color="FFFFFF" w:sz="2" w:space="0"/>
            </w:tcBorders>
            <w:vAlign w:val="top"/>
          </w:tcPr>
          <w:p>
            <w:pPr>
              <w:rPr>
                <w:rFonts w:ascii="Arial"/>
                <w:sz w:val="21"/>
              </w:rPr>
            </w:pPr>
          </w:p>
        </w:tc>
        <w:tc>
          <w:tcPr>
            <w:tcW w:w="2041" w:type="dxa"/>
            <w:tcBorders>
              <w:top w:val="single" w:color="FFFFFF" w:sz="2" w:space="0"/>
              <w:left w:val="single" w:color="FFFFFF" w:sz="2" w:space="0"/>
              <w:right w:val="single" w:color="FFFFFF" w:sz="2" w:space="0"/>
            </w:tcBorders>
            <w:vAlign w:val="top"/>
          </w:tcPr>
          <w:p>
            <w:pPr>
              <w:spacing w:before="101" w:line="221" w:lineRule="auto"/>
              <w:ind w:left="258"/>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07" w:hRule="atLeast"/>
        </w:trPr>
        <w:tc>
          <w:tcPr>
            <w:tcW w:w="4500" w:type="dxa"/>
            <w:gridSpan w:val="5"/>
            <w:shd w:val="clear" w:color="auto" w:fill="EFF2F7"/>
            <w:vAlign w:val="top"/>
          </w:tcPr>
          <w:p>
            <w:pPr>
              <w:spacing w:before="150" w:line="222" w:lineRule="auto"/>
              <w:ind w:left="1819"/>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项</w:t>
            </w:r>
            <w:r>
              <w:rPr>
                <w:rFonts w:ascii="宋体" w:hAnsi="宋体" w:eastAsia="宋体" w:cs="宋体"/>
                <w:spacing w:val="7"/>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目</w:t>
            </w:r>
          </w:p>
        </w:tc>
        <w:tc>
          <w:tcPr>
            <w:tcW w:w="3840" w:type="dxa"/>
            <w:gridSpan w:val="3"/>
            <w:shd w:val="clear" w:color="auto" w:fill="EFF2F7"/>
            <w:vAlign w:val="top"/>
          </w:tcPr>
          <w:p>
            <w:pPr>
              <w:spacing w:before="150" w:line="220" w:lineRule="auto"/>
              <w:ind w:left="605"/>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本年国有资本经营预算支出</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07" w:hRule="atLeast"/>
        </w:trPr>
        <w:tc>
          <w:tcPr>
            <w:tcW w:w="983" w:type="dxa"/>
            <w:gridSpan w:val="3"/>
            <w:tcBorders>
              <w:top w:val="single" w:color="C0C0C0" w:sz="2" w:space="0"/>
              <w:left w:val="single" w:color="C0C0C0" w:sz="2" w:space="0"/>
              <w:bottom w:val="single" w:color="C0C0C0" w:sz="2" w:space="0"/>
              <w:right w:val="single" w:color="C0C0C0" w:sz="2" w:space="0"/>
            </w:tcBorders>
            <w:shd w:val="clear" w:color="auto" w:fill="EFF2F7"/>
            <w:vAlign w:val="top"/>
          </w:tcPr>
          <w:p>
            <w:pPr>
              <w:spacing w:before="150" w:line="220" w:lineRule="auto"/>
              <w:ind w:left="57"/>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科目</w:t>
            </w:r>
            <w:r>
              <w:rPr>
                <w:rFonts w:ascii="宋体" w:hAnsi="宋体" w:eastAsia="宋体" w:cs="宋体"/>
                <w:spacing w:val="-1"/>
                <w:sz w:val="22"/>
                <w:szCs w:val="22"/>
                <w14:textOutline w14:w="4013" w14:cap="sq" w14:cmpd="sng">
                  <w14:solidFill>
                    <w14:srgbClr w14:val="000000"/>
                  </w14:solidFill>
                  <w14:prstDash w14:val="solid"/>
                  <w14:bevel/>
                </w14:textOutline>
              </w:rPr>
              <w:t>编码</w:t>
            </w:r>
          </w:p>
        </w:tc>
        <w:tc>
          <w:tcPr>
            <w:tcW w:w="1186" w:type="dxa"/>
            <w:vMerge w:val="restart"/>
            <w:tcBorders>
              <w:bottom w:val="nil"/>
            </w:tcBorders>
            <w:shd w:val="clear" w:color="auto" w:fill="EFF2F7"/>
            <w:vAlign w:val="top"/>
          </w:tcPr>
          <w:p>
            <w:pPr>
              <w:spacing w:line="333" w:lineRule="auto"/>
              <w:rPr>
                <w:rFonts w:ascii="Arial"/>
                <w:sz w:val="21"/>
              </w:rPr>
            </w:pPr>
          </w:p>
          <w:p>
            <w:pPr>
              <w:spacing w:before="71" w:line="221" w:lineRule="auto"/>
              <w:ind w:left="158"/>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单位代</w:t>
            </w:r>
            <w:r>
              <w:rPr>
                <w:rFonts w:ascii="宋体" w:hAnsi="宋体" w:eastAsia="宋体" w:cs="宋体"/>
                <w:spacing w:val="-1"/>
                <w:sz w:val="22"/>
                <w:szCs w:val="22"/>
                <w14:textOutline w14:w="4013" w14:cap="sq" w14:cmpd="sng">
                  <w14:solidFill>
                    <w14:srgbClr w14:val="000000"/>
                  </w14:solidFill>
                  <w14:prstDash w14:val="solid"/>
                  <w14:bevel/>
                </w14:textOutline>
              </w:rPr>
              <w:t>码</w:t>
            </w:r>
          </w:p>
        </w:tc>
        <w:tc>
          <w:tcPr>
            <w:tcW w:w="2331" w:type="dxa"/>
            <w:vMerge w:val="restart"/>
            <w:tcBorders>
              <w:bottom w:val="nil"/>
            </w:tcBorders>
            <w:shd w:val="clear" w:color="auto" w:fill="EFF2F7"/>
            <w:vAlign w:val="top"/>
          </w:tcPr>
          <w:p>
            <w:pPr>
              <w:spacing w:line="333" w:lineRule="auto"/>
              <w:rPr>
                <w:rFonts w:ascii="Arial"/>
                <w:sz w:val="21"/>
              </w:rPr>
            </w:pPr>
          </w:p>
          <w:p>
            <w:pPr>
              <w:spacing w:before="71" w:line="220" w:lineRule="auto"/>
              <w:ind w:left="292"/>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单位名称</w:t>
            </w:r>
            <w:r>
              <w:rPr>
                <w:rFonts w:ascii="宋体" w:hAnsi="宋体" w:eastAsia="宋体" w:cs="宋体"/>
                <w:spacing w:val="-1"/>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(科目)</w:t>
            </w:r>
          </w:p>
        </w:tc>
        <w:tc>
          <w:tcPr>
            <w:tcW w:w="613" w:type="dxa"/>
            <w:vMerge w:val="restart"/>
            <w:tcBorders>
              <w:bottom w:val="nil"/>
            </w:tcBorders>
            <w:shd w:val="clear" w:color="auto" w:fill="EFF2F7"/>
            <w:vAlign w:val="top"/>
          </w:tcPr>
          <w:p>
            <w:pPr>
              <w:spacing w:line="333" w:lineRule="auto"/>
              <w:rPr>
                <w:rFonts w:ascii="Arial"/>
                <w:sz w:val="21"/>
              </w:rPr>
            </w:pPr>
          </w:p>
          <w:p>
            <w:pPr>
              <w:spacing w:before="72" w:line="222" w:lineRule="auto"/>
              <w:ind w:left="93"/>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1186" w:type="dxa"/>
            <w:vMerge w:val="restart"/>
            <w:tcBorders>
              <w:bottom w:val="nil"/>
            </w:tcBorders>
            <w:shd w:val="clear" w:color="auto" w:fill="EFF2F7"/>
            <w:vAlign w:val="top"/>
          </w:tcPr>
          <w:p>
            <w:pPr>
              <w:spacing w:line="333" w:lineRule="auto"/>
              <w:rPr>
                <w:rFonts w:ascii="Arial"/>
                <w:sz w:val="21"/>
              </w:rPr>
            </w:pPr>
          </w:p>
          <w:p>
            <w:pPr>
              <w:spacing w:before="71" w:line="220" w:lineRule="auto"/>
              <w:ind w:left="159"/>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基本</w:t>
            </w:r>
            <w:r>
              <w:rPr>
                <w:rFonts w:ascii="宋体" w:hAnsi="宋体" w:eastAsia="宋体" w:cs="宋体"/>
                <w:spacing w:val="-1"/>
                <w:sz w:val="22"/>
                <w:szCs w:val="22"/>
                <w14:textOutline w14:w="4013" w14:cap="sq" w14:cmpd="sng">
                  <w14:solidFill>
                    <w14:srgbClr w14:val="000000"/>
                  </w14:solidFill>
                  <w14:prstDash w14:val="solid"/>
                  <w14:bevel/>
                </w14:textOutline>
              </w:rPr>
              <w:t>支出</w:t>
            </w:r>
          </w:p>
        </w:tc>
        <w:tc>
          <w:tcPr>
            <w:tcW w:w="2041" w:type="dxa"/>
            <w:vMerge w:val="restart"/>
            <w:tcBorders>
              <w:bottom w:val="nil"/>
            </w:tcBorders>
            <w:shd w:val="clear" w:color="auto" w:fill="EFF2F7"/>
            <w:vAlign w:val="top"/>
          </w:tcPr>
          <w:p>
            <w:pPr>
              <w:spacing w:line="332" w:lineRule="auto"/>
              <w:rPr>
                <w:rFonts w:ascii="Arial"/>
                <w:sz w:val="21"/>
              </w:rPr>
            </w:pPr>
          </w:p>
          <w:p>
            <w:pPr>
              <w:spacing w:before="72" w:line="222" w:lineRule="auto"/>
              <w:ind w:left="589"/>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项</w:t>
            </w:r>
            <w:r>
              <w:rPr>
                <w:rFonts w:ascii="宋体" w:hAnsi="宋体" w:eastAsia="宋体" w:cs="宋体"/>
                <w:spacing w:val="-2"/>
                <w:sz w:val="22"/>
                <w:szCs w:val="22"/>
                <w14:textOutline w14:w="4013" w14:cap="sq" w14:cmpd="sng">
                  <w14:solidFill>
                    <w14:srgbClr w14:val="000000"/>
                  </w14:solidFill>
                  <w14:prstDash w14:val="solid"/>
                  <w14:bevel/>
                </w14:textOutline>
              </w:rPr>
              <w:t>目支出</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07" w:hRule="atLeast"/>
        </w:trPr>
        <w:tc>
          <w:tcPr>
            <w:tcW w:w="331" w:type="dxa"/>
            <w:shd w:val="clear" w:color="auto" w:fill="EFF2F7"/>
            <w:vAlign w:val="top"/>
          </w:tcPr>
          <w:p>
            <w:pPr>
              <w:spacing w:before="151" w:line="221" w:lineRule="auto"/>
              <w:ind w:left="61"/>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类</w:t>
            </w:r>
          </w:p>
        </w:tc>
        <w:tc>
          <w:tcPr>
            <w:tcW w:w="326" w:type="dxa"/>
            <w:shd w:val="clear" w:color="auto" w:fill="EFF2F7"/>
            <w:vAlign w:val="top"/>
          </w:tcPr>
          <w:p>
            <w:pPr>
              <w:spacing w:before="151" w:line="222" w:lineRule="auto"/>
              <w:ind w:left="58"/>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款</w:t>
            </w:r>
          </w:p>
        </w:tc>
        <w:tc>
          <w:tcPr>
            <w:tcW w:w="326" w:type="dxa"/>
            <w:shd w:val="clear" w:color="auto" w:fill="EFF2F7"/>
            <w:vAlign w:val="top"/>
          </w:tcPr>
          <w:p>
            <w:pPr>
              <w:spacing w:before="151" w:line="222" w:lineRule="auto"/>
              <w:ind w:left="58"/>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项</w:t>
            </w:r>
          </w:p>
        </w:tc>
        <w:tc>
          <w:tcPr>
            <w:tcW w:w="1186" w:type="dxa"/>
            <w:vMerge w:val="continue"/>
            <w:tcBorders>
              <w:top w:val="nil"/>
            </w:tcBorders>
            <w:vAlign w:val="top"/>
          </w:tcPr>
          <w:p>
            <w:pPr>
              <w:rPr>
                <w:rFonts w:ascii="Arial"/>
                <w:sz w:val="21"/>
              </w:rPr>
            </w:pPr>
          </w:p>
        </w:tc>
        <w:tc>
          <w:tcPr>
            <w:tcW w:w="2331" w:type="dxa"/>
            <w:vMerge w:val="continue"/>
            <w:tcBorders>
              <w:top w:val="nil"/>
            </w:tcBorders>
            <w:vAlign w:val="top"/>
          </w:tcPr>
          <w:p>
            <w:pPr>
              <w:rPr>
                <w:rFonts w:ascii="Arial"/>
                <w:sz w:val="21"/>
              </w:rPr>
            </w:pPr>
          </w:p>
        </w:tc>
        <w:tc>
          <w:tcPr>
            <w:tcW w:w="613" w:type="dxa"/>
            <w:vMerge w:val="continue"/>
            <w:tcBorders>
              <w:top w:val="nil"/>
            </w:tcBorders>
            <w:vAlign w:val="top"/>
          </w:tcPr>
          <w:p>
            <w:pPr>
              <w:rPr>
                <w:rFonts w:ascii="Arial"/>
                <w:sz w:val="21"/>
              </w:rPr>
            </w:pPr>
          </w:p>
        </w:tc>
        <w:tc>
          <w:tcPr>
            <w:tcW w:w="1186" w:type="dxa"/>
            <w:vMerge w:val="continue"/>
            <w:tcBorders>
              <w:top w:val="nil"/>
            </w:tcBorders>
            <w:vAlign w:val="top"/>
          </w:tcPr>
          <w:p>
            <w:pPr>
              <w:rPr>
                <w:rFonts w:ascii="Arial"/>
                <w:sz w:val="21"/>
              </w:rPr>
            </w:pPr>
          </w:p>
        </w:tc>
        <w:tc>
          <w:tcPr>
            <w:tcW w:w="2041" w:type="dxa"/>
            <w:vMerge w:val="continue"/>
            <w:tcBorders>
              <w:top w:val="nil"/>
            </w:tcBorders>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75" w:hRule="atLeast"/>
        </w:trPr>
        <w:tc>
          <w:tcPr>
            <w:tcW w:w="331" w:type="dxa"/>
            <w:vAlign w:val="top"/>
          </w:tcPr>
          <w:p>
            <w:pPr>
              <w:rPr>
                <w:rFonts w:ascii="Arial"/>
                <w:sz w:val="21"/>
              </w:rPr>
            </w:pPr>
          </w:p>
        </w:tc>
        <w:tc>
          <w:tcPr>
            <w:tcW w:w="326" w:type="dxa"/>
            <w:vAlign w:val="top"/>
          </w:tcPr>
          <w:p>
            <w:pPr>
              <w:rPr>
                <w:rFonts w:ascii="Arial"/>
                <w:sz w:val="21"/>
              </w:rPr>
            </w:pPr>
          </w:p>
        </w:tc>
        <w:tc>
          <w:tcPr>
            <w:tcW w:w="326" w:type="dxa"/>
            <w:vAlign w:val="top"/>
          </w:tcPr>
          <w:p>
            <w:pPr>
              <w:rPr>
                <w:rFonts w:ascii="Arial"/>
                <w:sz w:val="21"/>
              </w:rPr>
            </w:pPr>
          </w:p>
        </w:tc>
        <w:tc>
          <w:tcPr>
            <w:tcW w:w="1186" w:type="dxa"/>
            <w:vAlign w:val="top"/>
          </w:tcPr>
          <w:p>
            <w:pPr>
              <w:rPr>
                <w:rFonts w:ascii="Arial"/>
                <w:sz w:val="21"/>
              </w:rPr>
            </w:pPr>
          </w:p>
        </w:tc>
        <w:tc>
          <w:tcPr>
            <w:tcW w:w="2331" w:type="dxa"/>
            <w:vAlign w:val="top"/>
          </w:tcPr>
          <w:p>
            <w:pPr>
              <w:spacing w:before="136" w:line="222" w:lineRule="auto"/>
              <w:ind w:left="730"/>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合</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计</w:t>
            </w:r>
          </w:p>
        </w:tc>
        <w:tc>
          <w:tcPr>
            <w:tcW w:w="613" w:type="dxa"/>
            <w:vAlign w:val="top"/>
          </w:tcPr>
          <w:p>
            <w:pPr>
              <w:rPr>
                <w:rFonts w:ascii="Arial"/>
                <w:sz w:val="21"/>
              </w:rPr>
            </w:pPr>
          </w:p>
        </w:tc>
        <w:tc>
          <w:tcPr>
            <w:tcW w:w="1186" w:type="dxa"/>
            <w:vAlign w:val="top"/>
          </w:tcPr>
          <w:p>
            <w:pPr>
              <w:rPr>
                <w:rFonts w:ascii="Arial"/>
                <w:sz w:val="21"/>
              </w:rPr>
            </w:pPr>
          </w:p>
        </w:tc>
        <w:tc>
          <w:tcPr>
            <w:tcW w:w="204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80" w:hRule="atLeast"/>
        </w:trPr>
        <w:tc>
          <w:tcPr>
            <w:tcW w:w="331" w:type="dxa"/>
            <w:vAlign w:val="top"/>
          </w:tcPr>
          <w:p>
            <w:pPr>
              <w:rPr>
                <w:rFonts w:ascii="Arial"/>
                <w:sz w:val="21"/>
              </w:rPr>
            </w:pPr>
          </w:p>
        </w:tc>
        <w:tc>
          <w:tcPr>
            <w:tcW w:w="326" w:type="dxa"/>
            <w:vAlign w:val="top"/>
          </w:tcPr>
          <w:p>
            <w:pPr>
              <w:rPr>
                <w:rFonts w:ascii="Arial"/>
                <w:sz w:val="21"/>
              </w:rPr>
            </w:pPr>
          </w:p>
        </w:tc>
        <w:tc>
          <w:tcPr>
            <w:tcW w:w="326" w:type="dxa"/>
            <w:vAlign w:val="top"/>
          </w:tcPr>
          <w:p>
            <w:pPr>
              <w:rPr>
                <w:rFonts w:ascii="Arial"/>
                <w:sz w:val="21"/>
              </w:rPr>
            </w:pPr>
          </w:p>
        </w:tc>
        <w:tc>
          <w:tcPr>
            <w:tcW w:w="1186" w:type="dxa"/>
            <w:vAlign w:val="top"/>
          </w:tcPr>
          <w:p>
            <w:pPr>
              <w:rPr>
                <w:rFonts w:ascii="Arial"/>
                <w:sz w:val="21"/>
              </w:rPr>
            </w:pPr>
          </w:p>
        </w:tc>
        <w:tc>
          <w:tcPr>
            <w:tcW w:w="2331" w:type="dxa"/>
            <w:vAlign w:val="top"/>
          </w:tcPr>
          <w:p>
            <w:pPr>
              <w:rPr>
                <w:rFonts w:ascii="Arial"/>
                <w:sz w:val="21"/>
              </w:rPr>
            </w:pPr>
          </w:p>
        </w:tc>
        <w:tc>
          <w:tcPr>
            <w:tcW w:w="613" w:type="dxa"/>
            <w:vAlign w:val="top"/>
          </w:tcPr>
          <w:p>
            <w:pPr>
              <w:rPr>
                <w:rFonts w:ascii="Arial"/>
                <w:sz w:val="21"/>
              </w:rPr>
            </w:pPr>
          </w:p>
        </w:tc>
        <w:tc>
          <w:tcPr>
            <w:tcW w:w="1186" w:type="dxa"/>
            <w:vAlign w:val="top"/>
          </w:tcPr>
          <w:p>
            <w:pPr>
              <w:rPr>
                <w:rFonts w:ascii="Arial"/>
                <w:sz w:val="21"/>
              </w:rPr>
            </w:pPr>
          </w:p>
        </w:tc>
        <w:tc>
          <w:tcPr>
            <w:tcW w:w="2041" w:type="dxa"/>
            <w:vAlign w:val="top"/>
          </w:tcPr>
          <w:p>
            <w:pPr>
              <w:rPr>
                <w:rFonts w:ascii="Arial"/>
                <w:sz w:val="21"/>
              </w:rPr>
            </w:pPr>
          </w:p>
        </w:tc>
      </w:tr>
    </w:tbl>
    <w:p>
      <w:pPr>
        <w:spacing w:before="106" w:line="221" w:lineRule="auto"/>
        <w:ind w:left="35"/>
        <w:rPr>
          <w:rFonts w:ascii="宋体" w:hAnsi="宋体" w:eastAsia="宋体" w:cs="宋体"/>
          <w:sz w:val="22"/>
          <w:szCs w:val="22"/>
        </w:rPr>
      </w:pPr>
      <w:r>
        <w:rPr>
          <w:rFonts w:ascii="宋体" w:hAnsi="宋体" w:eastAsia="宋体" w:cs="宋体"/>
          <w:spacing w:val="-2"/>
          <w:sz w:val="22"/>
          <w:szCs w:val="22"/>
        </w:rPr>
        <w:t>空表说明：</w:t>
      </w:r>
      <w:r>
        <w:rPr>
          <w:rFonts w:ascii="宋体" w:hAnsi="宋体" w:eastAsia="宋体" w:cs="宋体"/>
          <w:spacing w:val="-1"/>
          <w:sz w:val="22"/>
          <w:szCs w:val="22"/>
        </w:rPr>
        <w:t>无此项内容</w:t>
      </w:r>
    </w:p>
    <w:p>
      <w:pPr>
        <w:sectPr>
          <w:footerReference r:id="rId27" w:type="default"/>
          <w:pgSz w:w="11906" w:h="16839"/>
          <w:pgMar w:top="1431" w:right="1780" w:bottom="855" w:left="1780" w:header="0" w:footer="575" w:gutter="0"/>
          <w:cols w:space="720" w:num="1"/>
        </w:sect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72" w:line="222" w:lineRule="auto"/>
        <w:ind w:right="163"/>
        <w:jc w:val="right"/>
        <w:rPr>
          <w:rFonts w:ascii="宋体" w:hAnsi="宋体" w:eastAsia="宋体" w:cs="宋体"/>
          <w:sz w:val="22"/>
          <w:szCs w:val="22"/>
        </w:rPr>
      </w:pPr>
      <w:r>
        <w:rPr>
          <w:rFonts w:ascii="宋体" w:hAnsi="宋体" w:eastAsia="宋体" w:cs="宋体"/>
          <w:spacing w:val="-8"/>
          <w:sz w:val="22"/>
          <w:szCs w:val="22"/>
        </w:rPr>
        <w:t>公开表 6</w:t>
      </w:r>
    </w:p>
    <w:p>
      <w:pPr>
        <w:spacing w:line="68" w:lineRule="auto"/>
        <w:rPr>
          <w:rFonts w:ascii="Arial"/>
          <w:sz w:val="2"/>
        </w:rPr>
      </w:pPr>
    </w:p>
    <w:tbl>
      <w:tblPr>
        <w:tblStyle w:val="30"/>
        <w:tblW w:w="139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7"/>
        <w:gridCol w:w="1724"/>
        <w:gridCol w:w="1171"/>
        <w:gridCol w:w="1682"/>
        <w:gridCol w:w="956"/>
        <w:gridCol w:w="966"/>
        <w:gridCol w:w="1133"/>
        <w:gridCol w:w="967"/>
        <w:gridCol w:w="731"/>
        <w:gridCol w:w="955"/>
        <w:gridCol w:w="539"/>
        <w:gridCol w:w="11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662" w:hRule="atLeast"/>
        </w:trPr>
        <w:tc>
          <w:tcPr>
            <w:tcW w:w="13992" w:type="dxa"/>
            <w:gridSpan w:val="12"/>
            <w:tcBorders>
              <w:top w:val="single" w:color="FFFFFF" w:sz="2" w:space="0"/>
              <w:left w:val="single" w:color="FFFFFF" w:sz="2" w:space="0"/>
              <w:bottom w:val="single" w:color="FFFFFF" w:sz="2" w:space="0"/>
              <w:right w:val="single" w:color="FFFFFF" w:sz="2" w:space="0"/>
            </w:tcBorders>
            <w:vAlign w:val="top"/>
          </w:tcPr>
          <w:p>
            <w:pPr>
              <w:spacing w:before="190" w:line="226" w:lineRule="auto"/>
              <w:ind w:left="5049"/>
              <w:rPr>
                <w:rFonts w:ascii="宋体" w:hAnsi="宋体" w:eastAsia="宋体" w:cs="宋体"/>
                <w:sz w:val="29"/>
                <w:szCs w:val="29"/>
              </w:rPr>
            </w:pPr>
            <w:r>
              <w:rPr>
                <w:rFonts w:ascii="宋体" w:hAnsi="宋体" w:eastAsia="宋体" w:cs="宋体"/>
                <w:spacing w:val="10"/>
                <w:sz w:val="29"/>
                <w:szCs w:val="29"/>
                <w14:textOutline w14:w="5448" w14:cap="sq" w14:cmpd="sng">
                  <w14:solidFill>
                    <w14:srgbClr w14:val="000000"/>
                  </w14:solidFill>
                  <w14:prstDash w14:val="solid"/>
                  <w14:bevel/>
                </w14:textOutline>
              </w:rPr>
              <w:t>单位预算项目支出绩效目标表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11" w:hRule="atLeast"/>
        </w:trPr>
        <w:tc>
          <w:tcPr>
            <w:tcW w:w="6554" w:type="dxa"/>
            <w:gridSpan w:val="4"/>
            <w:tcBorders>
              <w:top w:val="single" w:color="FFFFFF" w:sz="2" w:space="0"/>
              <w:left w:val="single" w:color="FFFFFF" w:sz="2" w:space="0"/>
              <w:right w:val="single" w:color="FFFFFF" w:sz="2" w:space="0"/>
            </w:tcBorders>
            <w:vAlign w:val="top"/>
          </w:tcPr>
          <w:p>
            <w:pPr>
              <w:rPr>
                <w:rFonts w:ascii="Arial"/>
                <w:sz w:val="21"/>
              </w:rPr>
            </w:pPr>
          </w:p>
        </w:tc>
        <w:tc>
          <w:tcPr>
            <w:tcW w:w="956" w:type="dxa"/>
            <w:tcBorders>
              <w:top w:val="single" w:color="FFFFFF" w:sz="2" w:space="0"/>
              <w:left w:val="single" w:color="FFFFFF" w:sz="2" w:space="0"/>
              <w:right w:val="single" w:color="FFFFFF" w:sz="2" w:space="0"/>
            </w:tcBorders>
            <w:vAlign w:val="top"/>
          </w:tcPr>
          <w:p>
            <w:pPr>
              <w:rPr>
                <w:rFonts w:ascii="Arial"/>
                <w:sz w:val="21"/>
              </w:rPr>
            </w:pPr>
          </w:p>
        </w:tc>
        <w:tc>
          <w:tcPr>
            <w:tcW w:w="966" w:type="dxa"/>
            <w:tcBorders>
              <w:top w:val="single" w:color="FFFFFF" w:sz="2" w:space="0"/>
              <w:left w:val="single" w:color="FFFFFF" w:sz="2" w:space="0"/>
              <w:right w:val="single" w:color="FFFFFF" w:sz="2" w:space="0"/>
            </w:tcBorders>
            <w:vAlign w:val="top"/>
          </w:tcPr>
          <w:p>
            <w:pPr>
              <w:rPr>
                <w:rFonts w:ascii="Arial"/>
                <w:sz w:val="21"/>
              </w:rPr>
            </w:pPr>
          </w:p>
        </w:tc>
        <w:tc>
          <w:tcPr>
            <w:tcW w:w="1133" w:type="dxa"/>
            <w:tcBorders>
              <w:top w:val="single" w:color="FFFFFF" w:sz="2" w:space="0"/>
              <w:left w:val="single" w:color="FFFFFF" w:sz="2" w:space="0"/>
              <w:right w:val="single" w:color="FFFFFF" w:sz="2" w:space="0"/>
            </w:tcBorders>
            <w:vAlign w:val="top"/>
          </w:tcPr>
          <w:p>
            <w:pPr>
              <w:rPr>
                <w:rFonts w:ascii="Arial"/>
                <w:sz w:val="21"/>
              </w:rPr>
            </w:pPr>
          </w:p>
        </w:tc>
        <w:tc>
          <w:tcPr>
            <w:tcW w:w="967" w:type="dxa"/>
            <w:tcBorders>
              <w:top w:val="single" w:color="FFFFFF" w:sz="2" w:space="0"/>
              <w:left w:val="single" w:color="FFFFFF" w:sz="2" w:space="0"/>
              <w:right w:val="single" w:color="FFFFFF" w:sz="2" w:space="0"/>
            </w:tcBorders>
            <w:vAlign w:val="top"/>
          </w:tcPr>
          <w:p>
            <w:pPr>
              <w:rPr>
                <w:rFonts w:ascii="Arial"/>
                <w:sz w:val="21"/>
              </w:rPr>
            </w:pPr>
          </w:p>
        </w:tc>
        <w:tc>
          <w:tcPr>
            <w:tcW w:w="731" w:type="dxa"/>
            <w:tcBorders>
              <w:top w:val="single" w:color="FFFFFF" w:sz="2" w:space="0"/>
              <w:left w:val="single" w:color="FFFFFF" w:sz="2" w:space="0"/>
              <w:right w:val="single" w:color="FFFFFF" w:sz="2" w:space="0"/>
            </w:tcBorders>
            <w:vAlign w:val="top"/>
          </w:tcPr>
          <w:p>
            <w:pPr>
              <w:rPr>
                <w:rFonts w:ascii="Arial"/>
                <w:sz w:val="21"/>
              </w:rPr>
            </w:pPr>
          </w:p>
        </w:tc>
        <w:tc>
          <w:tcPr>
            <w:tcW w:w="2685" w:type="dxa"/>
            <w:gridSpan w:val="3"/>
            <w:tcBorders>
              <w:top w:val="single" w:color="FFFFFF" w:sz="2" w:space="0"/>
              <w:left w:val="single" w:color="FFFFFF" w:sz="2" w:space="0"/>
              <w:right w:val="single" w:color="FFFFFF" w:sz="2" w:space="0"/>
            </w:tcBorders>
            <w:vAlign w:val="top"/>
          </w:tcPr>
          <w:p>
            <w:pPr>
              <w:spacing w:before="101" w:line="221" w:lineRule="auto"/>
              <w:ind w:right="13"/>
              <w:jc w:val="right"/>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08" w:hRule="atLeast"/>
        </w:trPr>
        <w:tc>
          <w:tcPr>
            <w:tcW w:w="1977" w:type="dxa"/>
            <w:shd w:val="clear" w:color="auto" w:fill="EFF2F7"/>
            <w:vAlign w:val="top"/>
          </w:tcPr>
          <w:p>
            <w:pPr>
              <w:spacing w:before="169" w:line="232" w:lineRule="auto"/>
              <w:ind w:left="635"/>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单</w:t>
            </w:r>
            <w:r>
              <w:rPr>
                <w:rFonts w:ascii="宋体" w:hAnsi="宋体" w:eastAsia="宋体" w:cs="宋体"/>
                <w:spacing w:val="8"/>
                <w:sz w:val="17"/>
                <w:szCs w:val="17"/>
                <w14:textOutline w14:w="3268" w14:cap="sq" w14:cmpd="sng">
                  <w14:solidFill>
                    <w14:srgbClr w14:val="000000"/>
                  </w14:solidFill>
                  <w14:prstDash w14:val="solid"/>
                  <w14:bevel/>
                </w14:textOutline>
              </w:rPr>
              <w:t>位名称</w:t>
            </w:r>
          </w:p>
        </w:tc>
        <w:tc>
          <w:tcPr>
            <w:tcW w:w="1724" w:type="dxa"/>
            <w:shd w:val="clear" w:color="auto" w:fill="EFF2F7"/>
            <w:vAlign w:val="top"/>
          </w:tcPr>
          <w:p>
            <w:pPr>
              <w:spacing w:before="169" w:line="232" w:lineRule="auto"/>
              <w:ind w:left="507"/>
              <w:rPr>
                <w:rFonts w:ascii="宋体" w:hAnsi="宋体" w:eastAsia="宋体" w:cs="宋体"/>
                <w:sz w:val="17"/>
                <w:szCs w:val="17"/>
              </w:rPr>
            </w:pPr>
            <w:r>
              <w:rPr>
                <w:rFonts w:ascii="宋体" w:hAnsi="宋体" w:eastAsia="宋体" w:cs="宋体"/>
                <w:spacing w:val="8"/>
                <w:sz w:val="17"/>
                <w:szCs w:val="17"/>
                <w14:textOutline w14:w="3268" w14:cap="sq" w14:cmpd="sng">
                  <w14:solidFill>
                    <w14:srgbClr w14:val="000000"/>
                  </w14:solidFill>
                  <w14:prstDash w14:val="solid"/>
                  <w14:bevel/>
                </w14:textOutline>
              </w:rPr>
              <w:t>项目名称</w:t>
            </w:r>
          </w:p>
        </w:tc>
        <w:tc>
          <w:tcPr>
            <w:tcW w:w="1171" w:type="dxa"/>
            <w:shd w:val="clear" w:color="auto" w:fill="EFF2F7"/>
            <w:vAlign w:val="top"/>
          </w:tcPr>
          <w:p>
            <w:pPr>
              <w:spacing w:before="169" w:line="231" w:lineRule="auto"/>
              <w:ind w:left="320"/>
              <w:rPr>
                <w:rFonts w:ascii="宋体" w:hAnsi="宋体" w:eastAsia="宋体" w:cs="宋体"/>
                <w:sz w:val="17"/>
                <w:szCs w:val="17"/>
              </w:rPr>
            </w:pPr>
            <w:r>
              <w:rPr>
                <w:rFonts w:ascii="宋体" w:hAnsi="宋体" w:eastAsia="宋体" w:cs="宋体"/>
                <w:spacing w:val="8"/>
                <w:sz w:val="17"/>
                <w:szCs w:val="17"/>
                <w14:textOutline w14:w="3268" w14:cap="sq" w14:cmpd="sng">
                  <w14:solidFill>
                    <w14:srgbClr w14:val="000000"/>
                  </w14:solidFill>
                  <w14:prstDash w14:val="solid"/>
                  <w14:bevel/>
                </w14:textOutline>
              </w:rPr>
              <w:t>预算</w:t>
            </w:r>
            <w:r>
              <w:rPr>
                <w:rFonts w:ascii="宋体" w:hAnsi="宋体" w:eastAsia="宋体" w:cs="宋体"/>
                <w:spacing w:val="7"/>
                <w:sz w:val="17"/>
                <w:szCs w:val="17"/>
                <w14:textOutline w14:w="3268" w14:cap="sq" w14:cmpd="sng">
                  <w14:solidFill>
                    <w14:srgbClr w14:val="000000"/>
                  </w14:solidFill>
                  <w14:prstDash w14:val="solid"/>
                  <w14:bevel/>
                </w14:textOutline>
              </w:rPr>
              <w:t>数</w:t>
            </w:r>
          </w:p>
        </w:tc>
        <w:tc>
          <w:tcPr>
            <w:tcW w:w="1682" w:type="dxa"/>
            <w:shd w:val="clear" w:color="auto" w:fill="EFF2F7"/>
            <w:vAlign w:val="top"/>
          </w:tcPr>
          <w:p>
            <w:pPr>
              <w:spacing w:before="169" w:line="231" w:lineRule="auto"/>
              <w:ind w:left="485"/>
              <w:rPr>
                <w:rFonts w:ascii="宋体" w:hAnsi="宋体" w:eastAsia="宋体" w:cs="宋体"/>
                <w:sz w:val="17"/>
                <w:szCs w:val="17"/>
              </w:rPr>
            </w:pPr>
            <w:r>
              <w:rPr>
                <w:rFonts w:ascii="宋体" w:hAnsi="宋体" w:eastAsia="宋体" w:cs="宋体"/>
                <w:spacing w:val="10"/>
                <w:sz w:val="17"/>
                <w:szCs w:val="17"/>
                <w14:textOutline w14:w="3268" w14:cap="sq" w14:cmpd="sng">
                  <w14:solidFill>
                    <w14:srgbClr w14:val="000000"/>
                  </w14:solidFill>
                  <w14:prstDash w14:val="solid"/>
                  <w14:bevel/>
                </w14:textOutline>
              </w:rPr>
              <w:t>年</w:t>
            </w:r>
            <w:r>
              <w:rPr>
                <w:rFonts w:ascii="宋体" w:hAnsi="宋体" w:eastAsia="宋体" w:cs="宋体"/>
                <w:spacing w:val="8"/>
                <w:sz w:val="17"/>
                <w:szCs w:val="17"/>
                <w14:textOutline w14:w="3268" w14:cap="sq" w14:cmpd="sng">
                  <w14:solidFill>
                    <w14:srgbClr w14:val="000000"/>
                  </w14:solidFill>
                  <w14:prstDash w14:val="solid"/>
                  <w14:bevel/>
                </w14:textOutline>
              </w:rPr>
              <w:t>度目标</w:t>
            </w:r>
          </w:p>
        </w:tc>
        <w:tc>
          <w:tcPr>
            <w:tcW w:w="956" w:type="dxa"/>
            <w:shd w:val="clear" w:color="auto" w:fill="EFF2F7"/>
            <w:vAlign w:val="top"/>
          </w:tcPr>
          <w:p>
            <w:pPr>
              <w:spacing w:before="169" w:line="232" w:lineRule="auto"/>
              <w:ind w:left="125"/>
              <w:rPr>
                <w:rFonts w:ascii="宋体" w:hAnsi="宋体" w:eastAsia="宋体" w:cs="宋体"/>
                <w:sz w:val="17"/>
                <w:szCs w:val="17"/>
              </w:rPr>
            </w:pPr>
            <w:r>
              <w:rPr>
                <w:rFonts w:ascii="宋体" w:hAnsi="宋体" w:eastAsia="宋体" w:cs="宋体"/>
                <w:spacing w:val="8"/>
                <w:sz w:val="17"/>
                <w:szCs w:val="17"/>
                <w14:textOutline w14:w="3268" w14:cap="sq" w14:cmpd="sng">
                  <w14:solidFill>
                    <w14:srgbClr w14:val="000000"/>
                  </w14:solidFill>
                  <w14:prstDash w14:val="solid"/>
                  <w14:bevel/>
                </w14:textOutline>
              </w:rPr>
              <w:t>一级指标</w:t>
            </w:r>
          </w:p>
        </w:tc>
        <w:tc>
          <w:tcPr>
            <w:tcW w:w="966" w:type="dxa"/>
            <w:shd w:val="clear" w:color="auto" w:fill="EFF2F7"/>
            <w:vAlign w:val="top"/>
          </w:tcPr>
          <w:p>
            <w:pPr>
              <w:spacing w:before="169" w:line="232" w:lineRule="auto"/>
              <w:ind w:left="132"/>
              <w:rPr>
                <w:rFonts w:ascii="宋体" w:hAnsi="宋体" w:eastAsia="宋体" w:cs="宋体"/>
                <w:sz w:val="17"/>
                <w:szCs w:val="17"/>
              </w:rPr>
            </w:pPr>
            <w:r>
              <w:rPr>
                <w:rFonts w:ascii="宋体" w:hAnsi="宋体" w:eastAsia="宋体" w:cs="宋体"/>
                <w:spacing w:val="8"/>
                <w:sz w:val="17"/>
                <w:szCs w:val="17"/>
                <w14:textOutline w14:w="3268" w14:cap="sq" w14:cmpd="sng">
                  <w14:solidFill>
                    <w14:srgbClr w14:val="000000"/>
                  </w14:solidFill>
                  <w14:prstDash w14:val="solid"/>
                  <w14:bevel/>
                </w14:textOutline>
              </w:rPr>
              <w:t>二级指标</w:t>
            </w:r>
          </w:p>
        </w:tc>
        <w:tc>
          <w:tcPr>
            <w:tcW w:w="1133" w:type="dxa"/>
            <w:shd w:val="clear" w:color="auto" w:fill="EFF2F7"/>
            <w:vAlign w:val="top"/>
          </w:tcPr>
          <w:p>
            <w:pPr>
              <w:spacing w:before="169" w:line="232" w:lineRule="auto"/>
              <w:ind w:left="212"/>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三级指</w:t>
            </w:r>
            <w:r>
              <w:rPr>
                <w:rFonts w:ascii="宋体" w:hAnsi="宋体" w:eastAsia="宋体" w:cs="宋体"/>
                <w:spacing w:val="8"/>
                <w:sz w:val="17"/>
                <w:szCs w:val="17"/>
                <w14:textOutline w14:w="3268" w14:cap="sq" w14:cmpd="sng">
                  <w14:solidFill>
                    <w14:srgbClr w14:val="000000"/>
                  </w14:solidFill>
                  <w14:prstDash w14:val="solid"/>
                  <w14:bevel/>
                </w14:textOutline>
              </w:rPr>
              <w:t>标</w:t>
            </w:r>
          </w:p>
        </w:tc>
        <w:tc>
          <w:tcPr>
            <w:tcW w:w="967" w:type="dxa"/>
            <w:shd w:val="clear" w:color="auto" w:fill="EFF2F7"/>
            <w:vAlign w:val="top"/>
          </w:tcPr>
          <w:p>
            <w:pPr>
              <w:spacing w:before="169" w:line="232" w:lineRule="auto"/>
              <w:ind w:left="132"/>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指</w:t>
            </w:r>
            <w:r>
              <w:rPr>
                <w:rFonts w:ascii="宋体" w:hAnsi="宋体" w:eastAsia="宋体" w:cs="宋体"/>
                <w:spacing w:val="8"/>
                <w:sz w:val="17"/>
                <w:szCs w:val="17"/>
                <w14:textOutline w14:w="3268" w14:cap="sq" w14:cmpd="sng">
                  <w14:solidFill>
                    <w14:srgbClr w14:val="000000"/>
                  </w14:solidFill>
                  <w14:prstDash w14:val="solid"/>
                  <w14:bevel/>
                </w14:textOutline>
              </w:rPr>
              <w:t>标性质</w:t>
            </w:r>
          </w:p>
        </w:tc>
        <w:tc>
          <w:tcPr>
            <w:tcW w:w="731" w:type="dxa"/>
            <w:shd w:val="clear" w:color="auto" w:fill="EFF2F7"/>
            <w:vAlign w:val="top"/>
          </w:tcPr>
          <w:p>
            <w:pPr>
              <w:spacing w:before="169" w:line="231" w:lineRule="auto"/>
              <w:ind w:left="103"/>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指</w:t>
            </w:r>
            <w:r>
              <w:rPr>
                <w:rFonts w:ascii="宋体" w:hAnsi="宋体" w:eastAsia="宋体" w:cs="宋体"/>
                <w:spacing w:val="7"/>
                <w:sz w:val="17"/>
                <w:szCs w:val="17"/>
                <w14:textOutline w14:w="3268" w14:cap="sq" w14:cmpd="sng">
                  <w14:solidFill>
                    <w14:srgbClr w14:val="000000"/>
                  </w14:solidFill>
                  <w14:prstDash w14:val="solid"/>
                  <w14:bevel/>
                </w14:textOutline>
              </w:rPr>
              <w:t>标值</w:t>
            </w:r>
          </w:p>
        </w:tc>
        <w:tc>
          <w:tcPr>
            <w:tcW w:w="955" w:type="dxa"/>
            <w:shd w:val="clear" w:color="auto" w:fill="EFF2F7"/>
            <w:vAlign w:val="top"/>
          </w:tcPr>
          <w:p>
            <w:pPr>
              <w:spacing w:before="169" w:line="232" w:lineRule="auto"/>
              <w:ind w:left="123"/>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度量单位</w:t>
            </w:r>
          </w:p>
        </w:tc>
        <w:tc>
          <w:tcPr>
            <w:tcW w:w="539" w:type="dxa"/>
            <w:shd w:val="clear" w:color="auto" w:fill="EFF2F7"/>
            <w:vAlign w:val="top"/>
          </w:tcPr>
          <w:p>
            <w:pPr>
              <w:spacing w:before="169" w:line="231" w:lineRule="auto"/>
              <w:ind w:left="95"/>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权</w:t>
            </w:r>
            <w:r>
              <w:rPr>
                <w:rFonts w:ascii="宋体" w:hAnsi="宋体" w:eastAsia="宋体" w:cs="宋体"/>
                <w:spacing w:val="6"/>
                <w:sz w:val="17"/>
                <w:szCs w:val="17"/>
                <w14:textOutline w14:w="3268" w14:cap="sq" w14:cmpd="sng">
                  <w14:solidFill>
                    <w14:srgbClr w14:val="000000"/>
                  </w14:solidFill>
                  <w14:prstDash w14:val="solid"/>
                  <w14:bevel/>
                </w14:textOutline>
              </w:rPr>
              <w:t>重</w:t>
            </w:r>
          </w:p>
        </w:tc>
        <w:tc>
          <w:tcPr>
            <w:tcW w:w="1191" w:type="dxa"/>
            <w:shd w:val="clear" w:color="auto" w:fill="EFF2F7"/>
            <w:vAlign w:val="top"/>
          </w:tcPr>
          <w:p>
            <w:pPr>
              <w:spacing w:before="169" w:line="232" w:lineRule="auto"/>
              <w:ind w:left="151"/>
              <w:rPr>
                <w:rFonts w:ascii="宋体" w:hAnsi="宋体" w:eastAsia="宋体" w:cs="宋体"/>
                <w:sz w:val="17"/>
                <w:szCs w:val="17"/>
              </w:rPr>
            </w:pPr>
            <w:r>
              <w:rPr>
                <w:rFonts w:ascii="宋体" w:hAnsi="宋体" w:eastAsia="宋体" w:cs="宋体"/>
                <w:spacing w:val="11"/>
                <w:sz w:val="17"/>
                <w:szCs w:val="17"/>
                <w14:textOutline w14:w="3268" w14:cap="sq" w14:cmpd="sng">
                  <w14:solidFill>
                    <w14:srgbClr w14:val="000000"/>
                  </w14:solidFill>
                  <w14:prstDash w14:val="solid"/>
                  <w14:bevel/>
                </w14:textOutline>
              </w:rPr>
              <w:t>指</w:t>
            </w:r>
            <w:r>
              <w:rPr>
                <w:rFonts w:ascii="宋体" w:hAnsi="宋体" w:eastAsia="宋体" w:cs="宋体"/>
                <w:spacing w:val="8"/>
                <w:sz w:val="17"/>
                <w:szCs w:val="17"/>
                <w14:textOutline w14:w="3268" w14:cap="sq" w14:cmpd="sng">
                  <w14:solidFill>
                    <w14:srgbClr w14:val="000000"/>
                  </w14:solidFill>
                  <w14:prstDash w14:val="solid"/>
                  <w14:bevel/>
                </w14:textOutline>
              </w:rPr>
              <w:t>标方向性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Style w:val="33"/>
                <w:lang w:eastAsia="zh-CN" w:bidi="ar"/>
              </w:rPr>
              <w:t>512-夹江县交通运输局</w:t>
            </w:r>
          </w:p>
        </w:tc>
        <w:tc>
          <w:tcPr>
            <w:tcW w:w="1724" w:type="dxa"/>
            <w:vAlign w:val="center"/>
          </w:tcPr>
          <w:p>
            <w:pPr>
              <w:rPr>
                <w:rFonts w:ascii="Arial"/>
                <w:sz w:val="21"/>
              </w:rPr>
            </w:pPr>
          </w:p>
        </w:tc>
        <w:tc>
          <w:tcPr>
            <w:tcW w:w="1171" w:type="dxa"/>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17"/>
                <w:szCs w:val="17"/>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886.60</w:t>
            </w:r>
          </w:p>
        </w:tc>
        <w:tc>
          <w:tcPr>
            <w:tcW w:w="1682" w:type="dxa"/>
            <w:vAlign w:val="center"/>
          </w:tcPr>
          <w:p>
            <w:pPr>
              <w:rPr>
                <w:rFonts w:ascii="Arial"/>
                <w:sz w:val="21"/>
              </w:rPr>
            </w:pPr>
          </w:p>
        </w:tc>
        <w:tc>
          <w:tcPr>
            <w:tcW w:w="956" w:type="dxa"/>
            <w:vAlign w:val="center"/>
          </w:tcPr>
          <w:p>
            <w:pPr>
              <w:rPr>
                <w:rFonts w:ascii="Arial"/>
                <w:sz w:val="21"/>
              </w:rPr>
            </w:pPr>
          </w:p>
        </w:tc>
        <w:tc>
          <w:tcPr>
            <w:tcW w:w="966" w:type="dxa"/>
            <w:vAlign w:val="center"/>
          </w:tcPr>
          <w:p>
            <w:pPr>
              <w:rPr>
                <w:rFonts w:ascii="Arial"/>
                <w:sz w:val="21"/>
              </w:rPr>
            </w:pPr>
          </w:p>
        </w:tc>
        <w:tc>
          <w:tcPr>
            <w:tcW w:w="1133" w:type="dxa"/>
            <w:vAlign w:val="center"/>
          </w:tcPr>
          <w:p>
            <w:pPr>
              <w:rPr>
                <w:rFonts w:ascii="Arial"/>
                <w:sz w:val="21"/>
              </w:rPr>
            </w:pPr>
          </w:p>
        </w:tc>
        <w:tc>
          <w:tcPr>
            <w:tcW w:w="967" w:type="dxa"/>
            <w:vAlign w:val="center"/>
          </w:tcPr>
          <w:p>
            <w:pPr>
              <w:rPr>
                <w:rFonts w:ascii="Arial"/>
                <w:sz w:val="21"/>
              </w:rPr>
            </w:pPr>
          </w:p>
        </w:tc>
        <w:tc>
          <w:tcPr>
            <w:tcW w:w="731" w:type="dxa"/>
            <w:vAlign w:val="center"/>
          </w:tcPr>
          <w:p>
            <w:pPr>
              <w:rPr>
                <w:rFonts w:ascii="Arial"/>
                <w:sz w:val="21"/>
              </w:rPr>
            </w:pPr>
          </w:p>
        </w:tc>
        <w:tc>
          <w:tcPr>
            <w:tcW w:w="955" w:type="dxa"/>
            <w:vAlign w:val="center"/>
          </w:tcPr>
          <w:p>
            <w:pPr>
              <w:rPr>
                <w:rFonts w:ascii="Arial"/>
                <w:sz w:val="21"/>
              </w:rPr>
            </w:pPr>
          </w:p>
        </w:tc>
        <w:tc>
          <w:tcPr>
            <w:tcW w:w="539" w:type="dxa"/>
            <w:vAlign w:val="center"/>
          </w:tcPr>
          <w:p>
            <w:pPr>
              <w:rPr>
                <w:rFonts w:ascii="Arial"/>
                <w:sz w:val="21"/>
              </w:rPr>
            </w:pPr>
          </w:p>
        </w:tc>
        <w:tc>
          <w:tcPr>
            <w:tcW w:w="1191" w:type="dxa"/>
            <w:vAlign w:val="center"/>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restart"/>
            <w:vAlign w:val="top"/>
          </w:tcPr>
          <w:p>
            <w:pPr>
              <w:rPr>
                <w:rFonts w:ascii="Arial"/>
                <w:sz w:val="21"/>
              </w:rPr>
            </w:pPr>
            <w:r>
              <w:rPr>
                <w:rFonts w:hint="eastAsia" w:ascii="Arial"/>
                <w:sz w:val="21"/>
              </w:rPr>
              <w:t>512001-夹江县交通运输局机关</w:t>
            </w:r>
          </w:p>
        </w:tc>
        <w:tc>
          <w:tcPr>
            <w:tcW w:w="1724" w:type="dxa"/>
            <w:vMerge w:val="restart"/>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定额公用经费</w:t>
            </w:r>
          </w:p>
        </w:tc>
        <w:tc>
          <w:tcPr>
            <w:tcW w:w="1171" w:type="dxa"/>
            <w:vMerge w:val="restart"/>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17"/>
                <w:szCs w:val="17"/>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22.50</w:t>
            </w:r>
          </w:p>
        </w:tc>
        <w:tc>
          <w:tcPr>
            <w:tcW w:w="1682" w:type="dxa"/>
            <w:vMerge w:val="restart"/>
            <w:vAlign w:val="top"/>
          </w:tcPr>
          <w:p>
            <w:pPr>
              <w:jc w:val="center"/>
              <w:rPr>
                <w:rFonts w:ascii="Arial"/>
                <w:sz w:val="21"/>
              </w:rPr>
            </w:pPr>
            <w:r>
              <w:rPr>
                <w:rFonts w:hint="eastAsia" w:ascii="Arial"/>
                <w:sz w:val="32"/>
                <w:szCs w:val="32"/>
              </w:rPr>
              <w:t>保障单位日常运转，提高预算编制质量，严格执行预算</w:t>
            </w:r>
          </w:p>
        </w:tc>
        <w:tc>
          <w:tcPr>
            <w:tcW w:w="95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质量指标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预算编制准确率（计算方法为：∣（执行数-预算数）/预算数∣）</w:t>
            </w:r>
          </w:p>
        </w:tc>
        <w:tc>
          <w:tcPr>
            <w:tcW w:w="967"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5</w:t>
            </w:r>
          </w:p>
        </w:tc>
        <w:tc>
          <w:tcPr>
            <w:tcW w:w="955"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经济效益指标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“三公经费”控制率[计算方法为：（三公经费实际支出数/预算安排数]×100%）</w:t>
            </w:r>
          </w:p>
        </w:tc>
        <w:tc>
          <w:tcPr>
            <w:tcW w:w="967"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数量指标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科目调整次数</w:t>
            </w:r>
          </w:p>
        </w:tc>
        <w:tc>
          <w:tcPr>
            <w:tcW w:w="967"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w:t>
            </w:r>
          </w:p>
        </w:tc>
        <w:tc>
          <w:tcPr>
            <w:tcW w:w="955"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次</w:t>
            </w:r>
          </w:p>
        </w:tc>
        <w:tc>
          <w:tcPr>
            <w:tcW w:w="539"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90"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经济效益指标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运转保障率</w:t>
            </w:r>
          </w:p>
        </w:tc>
        <w:tc>
          <w:tcPr>
            <w:tcW w:w="967"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restart"/>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非定额公用经费</w:t>
            </w:r>
          </w:p>
        </w:tc>
        <w:tc>
          <w:tcPr>
            <w:tcW w:w="1171" w:type="dxa"/>
            <w:vMerge w:val="restart"/>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17"/>
                <w:szCs w:val="17"/>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12.95</w:t>
            </w:r>
          </w:p>
        </w:tc>
        <w:tc>
          <w:tcPr>
            <w:tcW w:w="1682" w:type="dxa"/>
            <w:vMerge w:val="restart"/>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保障单位日常运转，提高预算编制质量，严格执行预算</w:t>
            </w:r>
          </w:p>
        </w:tc>
        <w:tc>
          <w:tcPr>
            <w:tcW w:w="95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质量指标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预算编制准确率（计算方法为：∣（执行数-预算数）/预算数∣）</w:t>
            </w:r>
          </w:p>
        </w:tc>
        <w:tc>
          <w:tcPr>
            <w:tcW w:w="967"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5</w:t>
            </w:r>
          </w:p>
        </w:tc>
        <w:tc>
          <w:tcPr>
            <w:tcW w:w="955"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数量指标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科目调整次数</w:t>
            </w:r>
          </w:p>
        </w:tc>
        <w:tc>
          <w:tcPr>
            <w:tcW w:w="967"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w:t>
            </w:r>
          </w:p>
        </w:tc>
        <w:tc>
          <w:tcPr>
            <w:tcW w:w="955"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次</w:t>
            </w:r>
          </w:p>
        </w:tc>
        <w:tc>
          <w:tcPr>
            <w:tcW w:w="539"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经济效益指标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运转保障率</w:t>
            </w:r>
          </w:p>
        </w:tc>
        <w:tc>
          <w:tcPr>
            <w:tcW w:w="967"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经济效益指标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“三公经费”控制率[计算方法为：（三公经费实际支出数/预算安排数]×100%）</w:t>
            </w:r>
          </w:p>
        </w:tc>
        <w:tc>
          <w:tcPr>
            <w:tcW w:w="967"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质量指标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预算编制准确率（计算方法为：∣（执行数-预算数）/预算数∣）</w:t>
            </w:r>
          </w:p>
        </w:tc>
        <w:tc>
          <w:tcPr>
            <w:tcW w:w="967"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5</w:t>
            </w:r>
          </w:p>
        </w:tc>
        <w:tc>
          <w:tcPr>
            <w:tcW w:w="955"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restart"/>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工会费</w:t>
            </w:r>
          </w:p>
        </w:tc>
        <w:tc>
          <w:tcPr>
            <w:tcW w:w="1171" w:type="dxa"/>
            <w:vMerge w:val="restart"/>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17"/>
                <w:szCs w:val="17"/>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1.39</w:t>
            </w:r>
          </w:p>
        </w:tc>
        <w:tc>
          <w:tcPr>
            <w:tcW w:w="1682" w:type="dxa"/>
            <w:vMerge w:val="restart"/>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保障单位日常运转，提高预算编制质量，严格执行预算</w:t>
            </w:r>
          </w:p>
        </w:tc>
        <w:tc>
          <w:tcPr>
            <w:tcW w:w="95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数量指标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科目调整次数</w:t>
            </w:r>
          </w:p>
        </w:tc>
        <w:tc>
          <w:tcPr>
            <w:tcW w:w="967"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w:t>
            </w:r>
          </w:p>
        </w:tc>
        <w:tc>
          <w:tcPr>
            <w:tcW w:w="955"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次</w:t>
            </w:r>
          </w:p>
        </w:tc>
        <w:tc>
          <w:tcPr>
            <w:tcW w:w="539"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经济效益指标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运转保障率</w:t>
            </w:r>
          </w:p>
        </w:tc>
        <w:tc>
          <w:tcPr>
            <w:tcW w:w="967"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质量指标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预算编制准确率（计算方法为：∣（执行数-预算数）/预算数∣）</w:t>
            </w:r>
          </w:p>
        </w:tc>
        <w:tc>
          <w:tcPr>
            <w:tcW w:w="967"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5</w:t>
            </w:r>
          </w:p>
        </w:tc>
        <w:tc>
          <w:tcPr>
            <w:tcW w:w="955"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经济效益指标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“三公经费”控制率[计算方法为：（三公经费实际支出数/预算安排数]×100%）</w:t>
            </w:r>
          </w:p>
        </w:tc>
        <w:tc>
          <w:tcPr>
            <w:tcW w:w="967"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restart"/>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福利费</w:t>
            </w:r>
          </w:p>
        </w:tc>
        <w:tc>
          <w:tcPr>
            <w:tcW w:w="1171" w:type="dxa"/>
            <w:vMerge w:val="restart"/>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17"/>
                <w:szCs w:val="17"/>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2.09</w:t>
            </w:r>
          </w:p>
        </w:tc>
        <w:tc>
          <w:tcPr>
            <w:tcW w:w="1682" w:type="dxa"/>
            <w:vMerge w:val="restart"/>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保障单位日常运转，提高预算编制质量，严格执行预算</w:t>
            </w:r>
          </w:p>
        </w:tc>
        <w:tc>
          <w:tcPr>
            <w:tcW w:w="95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质量指标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预算编制准确率（计算方法为：∣（执行数-预算数）/预算数∣）</w:t>
            </w:r>
          </w:p>
        </w:tc>
        <w:tc>
          <w:tcPr>
            <w:tcW w:w="967"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5</w:t>
            </w:r>
          </w:p>
        </w:tc>
        <w:tc>
          <w:tcPr>
            <w:tcW w:w="955"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数量指标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科目调整次数</w:t>
            </w:r>
          </w:p>
        </w:tc>
        <w:tc>
          <w:tcPr>
            <w:tcW w:w="967"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w:t>
            </w:r>
          </w:p>
        </w:tc>
        <w:tc>
          <w:tcPr>
            <w:tcW w:w="955"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次</w:t>
            </w:r>
          </w:p>
        </w:tc>
        <w:tc>
          <w:tcPr>
            <w:tcW w:w="539"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经济效益指标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“三公经费”控制率[计算方法为：（三公经费实际支出数/预算安排数]×100%）</w:t>
            </w:r>
          </w:p>
        </w:tc>
        <w:tc>
          <w:tcPr>
            <w:tcW w:w="967"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经济效益指标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运转保障率</w:t>
            </w:r>
          </w:p>
        </w:tc>
        <w:tc>
          <w:tcPr>
            <w:tcW w:w="967"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restart"/>
            <w:tcBorders/>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党组织活动经费</w:t>
            </w:r>
          </w:p>
        </w:tc>
        <w:tc>
          <w:tcPr>
            <w:tcW w:w="1171" w:type="dxa"/>
            <w:vMerge w:val="restart"/>
            <w:tcBorders/>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17"/>
                <w:szCs w:val="17"/>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5.93</w:t>
            </w:r>
          </w:p>
        </w:tc>
        <w:tc>
          <w:tcPr>
            <w:tcW w:w="1682" w:type="dxa"/>
            <w:vMerge w:val="restart"/>
            <w:tcBorders/>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保障单位日常运转，提高预算编制质量，严格执行预算</w:t>
            </w: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经济效益指标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“三公经费”控制率[计算方法为：（三公经费实际支出数/预算安排数]×100%）</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经济效益指标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运转保障率</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数量指标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科目调整次数</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次</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质量指标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预算编制准确率（计算方法为：∣（执行数-预算数）/预算数∣）</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5</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restart"/>
            <w:tcBorders/>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离退休干部活动费</w:t>
            </w:r>
          </w:p>
        </w:tc>
        <w:tc>
          <w:tcPr>
            <w:tcW w:w="1171" w:type="dxa"/>
            <w:vMerge w:val="restart"/>
            <w:tcBorders/>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17"/>
                <w:szCs w:val="17"/>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2.40</w:t>
            </w:r>
          </w:p>
        </w:tc>
        <w:tc>
          <w:tcPr>
            <w:tcW w:w="1682" w:type="dxa"/>
            <w:vMerge w:val="restart"/>
            <w:tcBorders/>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保障单位日常运转，提高预算编制质量，严格执行预算</w:t>
            </w: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数量指标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科目调整次数</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次</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经济效益指标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运转保障率</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经济效益指标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“三公经费”控制率[计算方法为：（三公经费实际支出数/预算安排数]×100%）</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1141"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质量指标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预算编制准确率（计算方法为：∣（执行数-预算数）/预算数∣）</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5</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restart"/>
            <w:tcBorders/>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农村公路CNG补助</w:t>
            </w:r>
          </w:p>
        </w:tc>
        <w:tc>
          <w:tcPr>
            <w:tcW w:w="1171" w:type="dxa"/>
            <w:vMerge w:val="restart"/>
            <w:tcBorders/>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17"/>
                <w:szCs w:val="17"/>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55.27</w:t>
            </w:r>
          </w:p>
        </w:tc>
        <w:tc>
          <w:tcPr>
            <w:tcW w:w="1682" w:type="dxa"/>
            <w:vMerge w:val="restart"/>
            <w:tcBorders/>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维持农村客运正常运行，保证城乡居民出行顺畅</w:t>
            </w: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社会效益指标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农村客运车运行班次</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30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辆</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30</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满意度指标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帮扶对象满意度指标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班车运营商满意度</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辆</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20</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满意度指标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服务对象满意度指标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乘客满意度</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40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人数</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40</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restart"/>
            <w:tcBorders/>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渡运公司职工生活补助</w:t>
            </w:r>
          </w:p>
        </w:tc>
        <w:tc>
          <w:tcPr>
            <w:tcW w:w="1171" w:type="dxa"/>
            <w:vMerge w:val="restart"/>
            <w:tcBorders/>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17"/>
                <w:szCs w:val="17"/>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12.68</w:t>
            </w:r>
          </w:p>
        </w:tc>
        <w:tc>
          <w:tcPr>
            <w:tcW w:w="1682" w:type="dxa"/>
            <w:vMerge w:val="restart"/>
            <w:tcBorders/>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补助及时到位，保证渡运公司职工最低生活保障</w:t>
            </w: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满意度指标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帮扶对象满意度指标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幸福感</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30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元/人*月</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30</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社会效益指标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群众对政府这项补助的满意度</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30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人数</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30</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社会效益指标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职工认同感</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30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人数</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30</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restart"/>
            <w:vAlign w:val="top"/>
          </w:tcPr>
          <w:p>
            <w:pPr>
              <w:rPr>
                <w:rFonts w:ascii="Arial"/>
                <w:sz w:val="21"/>
              </w:rPr>
            </w:pPr>
            <w:r>
              <w:rPr>
                <w:rFonts w:hint="eastAsia" w:ascii="Arial"/>
                <w:sz w:val="21"/>
              </w:rPr>
              <w:t>512002-夹江县公路建设服务中心</w:t>
            </w:r>
          </w:p>
        </w:tc>
        <w:tc>
          <w:tcPr>
            <w:tcW w:w="1724" w:type="dxa"/>
            <w:vMerge w:val="restart"/>
            <w:tcBorders/>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定额公用经费</w:t>
            </w:r>
          </w:p>
        </w:tc>
        <w:tc>
          <w:tcPr>
            <w:tcW w:w="1171" w:type="dxa"/>
            <w:vMerge w:val="restart"/>
            <w:tcBorders/>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17"/>
                <w:szCs w:val="17"/>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25.30</w:t>
            </w:r>
          </w:p>
        </w:tc>
        <w:tc>
          <w:tcPr>
            <w:tcW w:w="1682" w:type="dxa"/>
            <w:vMerge w:val="restart"/>
            <w:tcBorders/>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保障单位日常运转，提高预算编制质量，严格执行预算</w:t>
            </w: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经济效益指标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运转保障率</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质量指标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预算编制准确率（计算方法为：∣（执行数-预算数）/预算数∣）</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5</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数量指标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科目调整次数</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次</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经济效益指标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“三公经费”控制率[计算方法为：（三公经费实际支出数/预算安排数]×100%）</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restart"/>
            <w:tcBorders/>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工会费</w:t>
            </w:r>
          </w:p>
        </w:tc>
        <w:tc>
          <w:tcPr>
            <w:tcW w:w="1171" w:type="dxa"/>
            <w:vMerge w:val="restart"/>
            <w:tcBorders/>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17"/>
                <w:szCs w:val="17"/>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1.81</w:t>
            </w:r>
          </w:p>
        </w:tc>
        <w:tc>
          <w:tcPr>
            <w:tcW w:w="1682" w:type="dxa"/>
            <w:vMerge w:val="restart"/>
            <w:tcBorders/>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保障单位日常运转，提高预算编制质量，严格执行预算</w:t>
            </w: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经济效益指标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运转保障率</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经济效益指标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“三公经费”控制率[计算方法为：（三公经费实际支出数/预算安排数]×100%）</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数量指标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科目调整次数</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次</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质量指标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预算编制准确率（计算方法为：∣（执行数-预算数）/预算数∣）</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5</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restart"/>
            <w:tcBorders/>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福利费</w:t>
            </w:r>
          </w:p>
        </w:tc>
        <w:tc>
          <w:tcPr>
            <w:tcW w:w="1171" w:type="dxa"/>
            <w:vMerge w:val="restart"/>
            <w:tcBorders/>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17"/>
                <w:szCs w:val="17"/>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2.71</w:t>
            </w:r>
          </w:p>
        </w:tc>
        <w:tc>
          <w:tcPr>
            <w:tcW w:w="1682" w:type="dxa"/>
            <w:vMerge w:val="restart"/>
            <w:tcBorders/>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保障单位日常运转，提高预算编制质量，严格执行预算</w:t>
            </w: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数量指标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科目调整次数</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次</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质量指标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预算编制准确率（计算方法为：∣（执行数-预算数）/预算数∣）</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5</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经济效益指标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运转保障率</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经济效益指标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“三公经费”控制率[计算方法为：（三公经费实际支出数/预算安排数]×100%）</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restart"/>
            <w:tcBorders/>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党组织活动经费</w:t>
            </w:r>
          </w:p>
        </w:tc>
        <w:tc>
          <w:tcPr>
            <w:tcW w:w="1171" w:type="dxa"/>
            <w:vMerge w:val="restart"/>
            <w:tcBorders/>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17"/>
                <w:szCs w:val="17"/>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17.87</w:t>
            </w:r>
          </w:p>
        </w:tc>
        <w:tc>
          <w:tcPr>
            <w:tcW w:w="1682" w:type="dxa"/>
            <w:vMerge w:val="restart"/>
            <w:tcBorders/>
            <w:vAlign w:val="center"/>
          </w:tcPr>
          <w:p>
            <w:pPr>
              <w:keepNext w:val="0"/>
              <w:keepLines w:val="0"/>
              <w:widowControl/>
              <w:suppressLineNumbers w:val="0"/>
              <w:ind w:left="0" w:leftChars="0" w:right="0" w:rightChars="0" w:firstLine="0" w:firstLineChars="0"/>
              <w:jc w:val="left"/>
              <w:textAlignment w:val="center"/>
              <w:rPr>
                <w:rFonts w:ascii="Arial" w:hAnsi="Times New Roman" w:eastAsia="Times New Roman" w:cs="Times New Roman"/>
                <w:color w:val="000000"/>
                <w:spacing w:val="0"/>
                <w:w w:val="100"/>
                <w:position w:val="0"/>
                <w:sz w:val="21"/>
                <w:szCs w:val="24"/>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保障单位日常运转，提高预算编制质量，严格执行预算</w:t>
            </w: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数量指标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科目调整次数</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次</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经济效益指标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“三公经费”控制率[计算方法为：（三公经费实际支出数/预算安排数]×100%）</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质量指标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预算编制准确率（计算方法为：∣（执行数-预算数）/预算数∣）</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5</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经济效益指标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运转保障率</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restart"/>
            <w:tcBorders/>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离退休干部活动费</w:t>
            </w:r>
          </w:p>
        </w:tc>
        <w:tc>
          <w:tcPr>
            <w:tcW w:w="1171" w:type="dxa"/>
            <w:vMerge w:val="restart"/>
            <w:tcBorders/>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17"/>
                <w:szCs w:val="17"/>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11.12</w:t>
            </w:r>
          </w:p>
        </w:tc>
        <w:tc>
          <w:tcPr>
            <w:tcW w:w="1682" w:type="dxa"/>
            <w:vMerge w:val="restart"/>
            <w:tcBorders/>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保障单位日常运转，提高预算编制质量，严格执行预算</w:t>
            </w: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数量指标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科目调整次数</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次</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质量指标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预算编制准确率（计算方法为：∣（执行数-预算数）/预算数∣）</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5</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经济效益指标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运转保障率</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经济效益指标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“三公经费”控制率[计算方法为：（三公经费实际支出数/预算安排数]×100%）</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22.5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restart"/>
            <w:tcBorders/>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国省县道公路小修保养费</w:t>
            </w:r>
          </w:p>
        </w:tc>
        <w:tc>
          <w:tcPr>
            <w:tcW w:w="1171" w:type="dxa"/>
            <w:vMerge w:val="restart"/>
            <w:tcBorders/>
            <w:vAlign w:val="center"/>
          </w:tcPr>
          <w:p>
            <w:pPr>
              <w:keepNext w:val="0"/>
              <w:keepLines w:val="0"/>
              <w:widowControl/>
              <w:suppressLineNumbers w:val="0"/>
              <w:ind w:left="0" w:leftChars="0" w:right="0" w:rightChars="0" w:firstLine="0" w:firstLineChars="0"/>
              <w:jc w:val="right"/>
              <w:textAlignment w:val="center"/>
              <w:rPr>
                <w:rFonts w:ascii="宋体" w:hAnsi="宋体" w:eastAsia="宋体" w:cs="宋体"/>
                <w:sz w:val="17"/>
                <w:szCs w:val="17"/>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450.00</w:t>
            </w:r>
          </w:p>
        </w:tc>
        <w:tc>
          <w:tcPr>
            <w:tcW w:w="1682" w:type="dxa"/>
            <w:vMerge w:val="restart"/>
            <w:tcBorders/>
            <w:vAlign w:val="center"/>
          </w:tcPr>
          <w:p>
            <w:pPr>
              <w:keepNext w:val="0"/>
              <w:keepLines w:val="0"/>
              <w:widowControl/>
              <w:suppressLineNumbers w:val="0"/>
              <w:ind w:left="0" w:leftChars="0" w:right="0" w:rightChars="0" w:firstLine="0" w:firstLineChars="0"/>
              <w:jc w:val="left"/>
              <w:textAlignment w:val="center"/>
              <w:rPr>
                <w:rFonts w:ascii="Arial"/>
                <w:sz w:val="21"/>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 xml:space="preserve">保持路面整洁、公路排水系统畅通，确保公路构造物完好，沿线设施完善，行道树协调美观，确保行车安全、舒适、畅通，构建畅、洁、绿、美的公路交通环境。 </w:t>
            </w: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时效指标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项目完成率</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效益指标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可持续影响指标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路面使用性能指数PQI值</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90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20</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满意度指标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服务对象满意度指标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服务对象满意度</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90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质量指标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验收合格率</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100</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45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76" w:hRule="atLeast"/>
        </w:trPr>
        <w:tc>
          <w:tcPr>
            <w:tcW w:w="1977" w:type="dxa"/>
            <w:vMerge w:val="continue"/>
            <w:tcBorders/>
            <w:vAlign w:val="top"/>
          </w:tcPr>
          <w:p>
            <w:pPr>
              <w:rPr>
                <w:rFonts w:ascii="Arial"/>
                <w:sz w:val="21"/>
              </w:rPr>
            </w:pPr>
          </w:p>
        </w:tc>
        <w:tc>
          <w:tcPr>
            <w:tcW w:w="1724" w:type="dxa"/>
            <w:vMerge w:val="continue"/>
            <w:tcBorders/>
            <w:vAlign w:val="top"/>
          </w:tcPr>
          <w:p>
            <w:pPr>
              <w:rPr>
                <w:rFonts w:ascii="Arial"/>
                <w:sz w:val="21"/>
              </w:rPr>
            </w:pPr>
          </w:p>
        </w:tc>
        <w:tc>
          <w:tcPr>
            <w:tcW w:w="1171" w:type="dxa"/>
            <w:vMerge w:val="continue"/>
            <w:tcBorders/>
            <w:vAlign w:val="top"/>
          </w:tcPr>
          <w:p>
            <w:pPr>
              <w:spacing w:before="180" w:line="216" w:lineRule="auto"/>
              <w:ind w:left="445"/>
              <w:rPr>
                <w:rFonts w:ascii="宋体" w:hAnsi="宋体" w:eastAsia="宋体" w:cs="宋体"/>
                <w:sz w:val="17"/>
                <w:szCs w:val="17"/>
              </w:rPr>
            </w:pPr>
          </w:p>
        </w:tc>
        <w:tc>
          <w:tcPr>
            <w:tcW w:w="1682" w:type="dxa"/>
            <w:vMerge w:val="continue"/>
            <w:tcBorders/>
            <w:vAlign w:val="top"/>
          </w:tcPr>
          <w:p>
            <w:pPr>
              <w:rPr>
                <w:rFonts w:ascii="Arial"/>
                <w:sz w:val="21"/>
              </w:rPr>
            </w:pPr>
          </w:p>
        </w:tc>
        <w:tc>
          <w:tcPr>
            <w:tcW w:w="95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产出指标</w:t>
            </w:r>
          </w:p>
        </w:tc>
        <w:tc>
          <w:tcPr>
            <w:tcW w:w="966"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数量指标</w:t>
            </w:r>
          </w:p>
        </w:tc>
        <w:tc>
          <w:tcPr>
            <w:tcW w:w="1133"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管养公路公里</w:t>
            </w:r>
          </w:p>
        </w:tc>
        <w:tc>
          <w:tcPr>
            <w:tcW w:w="967"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en-US" w:bidi="en-US"/>
              </w:rPr>
            </w:pPr>
            <w:r>
              <w:rPr>
                <w:rFonts w:hint="eastAsia" w:ascii="宋体" w:hAnsi="宋体" w:eastAsia="宋体" w:cs="宋体"/>
                <w:i w:val="0"/>
                <w:color w:val="000000"/>
                <w:spacing w:val="0"/>
                <w:w w:val="100"/>
                <w:kern w:val="0"/>
                <w:position w:val="0"/>
                <w:sz w:val="18"/>
                <w:szCs w:val="18"/>
                <w:u w:val="none"/>
                <w:shd w:val="clear" w:color="auto" w:fill="auto"/>
                <w:lang w:val="en-US" w:eastAsia="en-US" w:bidi="en-US"/>
              </w:rPr>
              <w:t>＝</w:t>
            </w:r>
          </w:p>
        </w:tc>
        <w:tc>
          <w:tcPr>
            <w:tcW w:w="73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170.18</w:t>
            </w:r>
          </w:p>
        </w:tc>
        <w:tc>
          <w:tcPr>
            <w:tcW w:w="955"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公里</w:t>
            </w:r>
          </w:p>
        </w:tc>
        <w:tc>
          <w:tcPr>
            <w:tcW w:w="539"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5</w:t>
            </w:r>
          </w:p>
        </w:tc>
        <w:tc>
          <w:tcPr>
            <w:tcW w:w="1191" w:type="dxa"/>
            <w:vAlign w:val="center"/>
          </w:tcPr>
          <w:p>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18"/>
                <w:szCs w:val="18"/>
                <w:u w:val="none"/>
                <w:shd w:val="clear" w:color="auto" w:fill="auto"/>
                <w:lang w:val="en-US" w:eastAsia="zh-CN" w:bidi="ar"/>
              </w:rPr>
            </w:pPr>
            <w:r>
              <w:rPr>
                <w:rFonts w:hint="eastAsia" w:ascii="宋体" w:hAnsi="宋体" w:eastAsia="宋体" w:cs="宋体"/>
                <w:i w:val="0"/>
                <w:color w:val="000000"/>
                <w:spacing w:val="0"/>
                <w:w w:val="100"/>
                <w:kern w:val="0"/>
                <w:position w:val="0"/>
                <w:sz w:val="18"/>
                <w:szCs w:val="18"/>
                <w:u w:val="none"/>
                <w:shd w:val="clear" w:color="auto" w:fill="auto"/>
                <w:lang w:val="en-US" w:eastAsia="zh-CN" w:bidi="ar"/>
              </w:rPr>
              <w:t>正向指标</w:t>
            </w:r>
          </w:p>
        </w:tc>
      </w:tr>
    </w:tbl>
    <w:tbl>
      <w:tblPr>
        <w:tblW w:w="14009" w:type="dxa"/>
        <w:tblInd w:w="0" w:type="dxa"/>
        <w:shd w:val="clear"/>
        <w:tblLayout w:type="fixed"/>
        <w:tblCellMar>
          <w:top w:w="0" w:type="dxa"/>
          <w:left w:w="0" w:type="dxa"/>
          <w:bottom w:w="0" w:type="dxa"/>
          <w:right w:w="0" w:type="dxa"/>
        </w:tblCellMar>
      </w:tblPr>
      <w:tblGrid>
        <w:gridCol w:w="2130"/>
        <w:gridCol w:w="1605"/>
        <w:gridCol w:w="1365"/>
        <w:gridCol w:w="1575"/>
        <w:gridCol w:w="885"/>
        <w:gridCol w:w="900"/>
        <w:gridCol w:w="1065"/>
        <w:gridCol w:w="900"/>
        <w:gridCol w:w="675"/>
        <w:gridCol w:w="885"/>
        <w:gridCol w:w="510"/>
        <w:gridCol w:w="1110"/>
      </w:tblGrid>
      <w:tr>
        <w:tblPrEx>
          <w:shd w:val="clear"/>
          <w:tblCellMar>
            <w:top w:w="0" w:type="dxa"/>
            <w:left w:w="0" w:type="dxa"/>
            <w:bottom w:w="0" w:type="dxa"/>
            <w:right w:w="0" w:type="dxa"/>
          </w:tblCellMar>
        </w:tblPrEx>
        <w:trPr>
          <w:wAfter w:w="404" w:type="dxa"/>
          <w:trHeight w:val="424" w:hRule="atLeast"/>
        </w:trPr>
        <w:tc>
          <w:tcPr>
            <w:tcW w:w="213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512003-夹江县运输中心</w:t>
            </w: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定额公用经费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24.70</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非定额公用经费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13.31</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工会费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1.52</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福利费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2.28</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党组织活动经费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4.22</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离退休干部活动费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0.96</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临聘人员工资保险</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18.18</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2022年计划发放临聘人员工资保险补贴，涉及财政资金181758.96元，提高临聘人员生活保障。</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临聘人员发放人数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人/月</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619"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满意度指标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服务对象满意度指标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临聘人员工资保险满意率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619"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社会效益指标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临聘人员工资保险应发尽发率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619"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临聘人员工资保险发放准确率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619"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时效指标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临聘人员工资保险发放及时率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619"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成本指标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临聘人员工资保险发放标准</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15146.58</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元/人</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619"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成本指标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临聘人员工资保险成本预算数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181758.96</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元</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619"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可持续发展指标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临聘人员工资保险管理机制</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定性</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好坏</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512004-夹江县交通运输综合行政执法大队</w:t>
            </w: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定额公用经费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29.90</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非定额公用经费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14.70</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75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超限站运行经费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20.00</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 xml:space="preserve">该项目主要用于保障大队治超工作的顺利开展。主要包含车辆运行维护、办公耗材、水电费、应急抢险、设备维护等开支。2017年，经县政府主要领导同意，夹江县公路路政管理大队界牌超限检测站运行经费预算为40万。界牌检测站全面投入运行以来，该检测站运行费预算保持每年40万不变，且该项目经费符合资金管理办法等相关规定。 </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检测车辆</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1500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个（台、套、件、辆）</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75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满意度指标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服务对象满意度指标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满意度指标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人/户</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75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治超检测台次</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400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个（台、套、件、辆）</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75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成本指标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治超站经费</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万</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30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75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效果指标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治超率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85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75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社会效益指标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超限整治率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85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工会费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1.64</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福利费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2.46</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党组织活动经费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4.57</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离退休干部活动费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1.20</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619"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路政队安置编外人员工资保险</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78.29</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2022年我队现有经批准编外人员共19名，主要从事交通运输辅助执法工作。发放19名编外安置人员每月工资合计447348元，购买社会保险每月合计335554.44元。用于确保国省干线公路超限治理工作正常开展，维护社会稳定。</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编外安置人员工资发放人数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19</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人</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619"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安置人员社保购买准确率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619"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安置人员工资发放准确率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619"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满意度指标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服务对象满意度指标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编外安置人员满意度</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619"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社会效益指标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安置人员工资保险应交尽交率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5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成本指标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安置人员保险成本</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35554.44</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元</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619"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时效指标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编外安置人员工资发放及时率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619"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可持续影响指标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安置人员管理机制健全性</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定性</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优良中低差</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619"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编外安置人员保险购买人数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19</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人</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619"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时效指标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编外安置人员保险购买及时率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成本指标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安置人员工资成本</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447348</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元</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448" w:hRule="atLeast"/>
        </w:trPr>
        <w:tc>
          <w:tcPr>
            <w:tcW w:w="213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512007-夹江县港航中心</w:t>
            </w: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定额公用经费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6.00</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非定额公用经费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3.18</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工会费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0.36</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福利费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0.53</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党组织活动经费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1.05</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离退休干部活动费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0.24</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853" w:hRule="atLeast"/>
        </w:trPr>
        <w:tc>
          <w:tcPr>
            <w:tcW w:w="213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512101-漹城交通站</w:t>
            </w: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定额公用经费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3.30</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工会费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0.21</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福利费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0.32</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党组织活动经费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0.38</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512102-青衣交通站</w:t>
            </w: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定额公用经费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2.20</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工会费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0.19</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福利费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0.28</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党组织活动经费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0.24</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512103-新场交通站</w:t>
            </w: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定额公用经费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5.50</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工会费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0.34</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福利费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0.51</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党组织活动经费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0.63</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512104-甘江交通站</w:t>
            </w: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定额公用经费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5.50</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工会费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0.40</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福利费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0.60</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党组织活动经费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0.65</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512105-木城交通站</w:t>
            </w: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定额公用经费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4.40</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工会费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0.32</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福利费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0.48</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党组织活动经费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0.51</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512106-吴场交通站</w:t>
            </w: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定额公用经费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6.60</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工会费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0.43</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福利费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0.64</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党组织活动经费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0.80</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512107-黄土交通站</w:t>
            </w: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定额公用经费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4.40</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工会费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0.27</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福利费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0.40</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党组织活动经费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0.51</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512108-马村交通站</w:t>
            </w: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定额公用经费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4.40</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工会费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0.29</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福利费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0.43</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党组织活动经费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0.53</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512109-华头交通站</w:t>
            </w: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定额公用经费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3.30</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工会费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0.20</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福利费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0.31</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党组织活动经费</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0.42</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保障单位日常运转，提高预算编制质量，严格执行预算</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运转保障率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正向指标</w:t>
            </w:r>
          </w:p>
        </w:tc>
      </w:tr>
      <w:tr>
        <w:tblPrEx>
          <w:tblCellMar>
            <w:top w:w="0" w:type="dxa"/>
            <w:left w:w="0" w:type="dxa"/>
            <w:bottom w:w="0" w:type="dxa"/>
            <w:right w:w="0" w:type="dxa"/>
          </w:tblCellMar>
        </w:tblPrEx>
        <w:trPr>
          <w:wAfter w:w="404" w:type="dxa"/>
          <w:trHeight w:val="1853"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效益指标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“三公经费”控制率[计算方法为：（三公经费实际支出数/预算安排数]×100%）</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424"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数量指标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科目调整次数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r>
        <w:tblPrEx>
          <w:tblCellMar>
            <w:top w:w="0" w:type="dxa"/>
            <w:left w:w="0" w:type="dxa"/>
            <w:bottom w:w="0" w:type="dxa"/>
            <w:right w:w="0" w:type="dxa"/>
          </w:tblCellMar>
        </w:tblPrEx>
        <w:trPr>
          <w:wAfter w:w="404" w:type="dxa"/>
          <w:trHeight w:val="1448"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产出指标</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质量指标</w:t>
            </w:r>
          </w:p>
        </w:tc>
        <w:tc>
          <w:tcPr>
            <w:tcW w:w="10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预算编制准确率（计算方法为：∣（执行数-预算数）/预算数∣）</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en-US" w:bidi="en-US"/>
              </w:rPr>
              <w:t>≤</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0"/>
                <w:w w:val="100"/>
                <w:kern w:val="0"/>
                <w:position w:val="0"/>
                <w:sz w:val="18"/>
                <w:szCs w:val="18"/>
                <w:u w:val="none"/>
                <w:bdr w:val="none" w:color="auto" w:sz="0" w:space="0"/>
                <w:shd w:val="clear" w:color="auto" w:fill="auto"/>
                <w:lang w:val="en-US" w:eastAsia="zh-CN" w:bidi="ar"/>
              </w:rPr>
              <w:t>反向指标</w:t>
            </w:r>
          </w:p>
        </w:tc>
      </w:tr>
    </w:tbl>
    <w:p>
      <w:pPr>
        <w:rPr>
          <w:rFonts w:ascii="Arial"/>
          <w:sz w:val="21"/>
        </w:rPr>
      </w:pPr>
    </w:p>
    <w:p/>
    <w:p>
      <w:pPr>
        <w:spacing w:line="66" w:lineRule="exact"/>
      </w:pPr>
    </w:p>
    <w:p>
      <w:pPr>
        <w:spacing w:before="50" w:line="225" w:lineRule="auto"/>
        <w:ind w:left="28"/>
        <w:rPr>
          <w:rFonts w:ascii="宋体" w:hAnsi="宋体" w:eastAsia="宋体" w:cs="宋体"/>
          <w:sz w:val="22"/>
          <w:szCs w:val="22"/>
        </w:rPr>
      </w:pPr>
      <w:r>
        <w:rPr>
          <w:rFonts w:ascii="宋体" w:hAnsi="宋体" w:eastAsia="宋体" w:cs="宋体"/>
          <w:spacing w:val="-1"/>
          <w:sz w:val="22"/>
          <w:szCs w:val="22"/>
        </w:rPr>
        <w:t>注：此表公开的为</w:t>
      </w:r>
      <w:r>
        <w:rPr>
          <w:rFonts w:ascii="宋体" w:hAnsi="宋体" w:eastAsia="宋体" w:cs="宋体"/>
          <w:sz w:val="22"/>
          <w:szCs w:val="22"/>
        </w:rPr>
        <w:t>特定目标类项目绩效目标。</w:t>
      </w:r>
    </w:p>
    <w:p>
      <w:pPr>
        <w:sectPr>
          <w:footerReference r:id="rId28" w:type="default"/>
          <w:pgSz w:w="16839" w:h="11906"/>
          <w:pgMar w:top="1012" w:right="1420" w:bottom="855" w:left="1420" w:header="0" w:footer="575" w:gutter="0"/>
          <w:cols w:space="720" w:num="1"/>
        </w:sectPr>
      </w:pPr>
    </w:p>
    <w:tbl>
      <w:tblPr>
        <w:tblW w:w="9480" w:type="dxa"/>
        <w:tblInd w:w="0" w:type="dxa"/>
        <w:shd w:val="clear"/>
        <w:tblLayout w:type="autofit"/>
        <w:tblCellMar>
          <w:top w:w="0" w:type="dxa"/>
          <w:left w:w="0" w:type="dxa"/>
          <w:bottom w:w="0" w:type="dxa"/>
          <w:right w:w="0" w:type="dxa"/>
        </w:tblCellMar>
      </w:tblPr>
      <w:tblGrid>
        <w:gridCol w:w="715"/>
        <w:gridCol w:w="517"/>
        <w:gridCol w:w="352"/>
        <w:gridCol w:w="1254"/>
        <w:gridCol w:w="812"/>
        <w:gridCol w:w="1726"/>
        <w:gridCol w:w="525"/>
        <w:gridCol w:w="1015"/>
        <w:gridCol w:w="1248"/>
        <w:gridCol w:w="1316"/>
      </w:tblGrid>
      <w:tr>
        <w:tblPrEx>
          <w:shd w:val="clear"/>
          <w:tblCellMar>
            <w:top w:w="0" w:type="dxa"/>
            <w:left w:w="0" w:type="dxa"/>
            <w:bottom w:w="0" w:type="dxa"/>
            <w:right w:w="0" w:type="dxa"/>
          </w:tblCellMar>
        </w:tblPrEx>
        <w:trPr>
          <w:trHeight w:val="592" w:hRule="atLeast"/>
        </w:trPr>
        <w:tc>
          <w:tcPr>
            <w:tcW w:w="9480" w:type="dxa"/>
            <w:gridSpan w:val="10"/>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spacing w:val="0"/>
                <w:w w:val="100"/>
                <w:kern w:val="0"/>
                <w:position w:val="0"/>
                <w:sz w:val="40"/>
                <w:szCs w:val="40"/>
                <w:u w:val="none"/>
                <w:bdr w:val="none" w:color="auto" w:sz="0" w:space="0"/>
                <w:shd w:val="clear" w:color="auto" w:fill="auto"/>
                <w:lang w:val="en-US" w:eastAsia="zh-CN" w:bidi="ar"/>
              </w:rPr>
              <w:t>部门（单位）整体支出绩效目标申报表</w:t>
            </w:r>
          </w:p>
        </w:tc>
      </w:tr>
      <w:tr>
        <w:tblPrEx>
          <w:tblCellMar>
            <w:top w:w="0" w:type="dxa"/>
            <w:left w:w="0" w:type="dxa"/>
            <w:bottom w:w="0" w:type="dxa"/>
            <w:right w:w="0" w:type="dxa"/>
          </w:tblCellMar>
        </w:tblPrEx>
        <w:trPr>
          <w:trHeight w:val="420" w:hRule="atLeast"/>
        </w:trPr>
        <w:tc>
          <w:tcPr>
            <w:tcW w:w="9480" w:type="dxa"/>
            <w:gridSpan w:val="10"/>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en-US" w:bidi="en-US"/>
              </w:rPr>
              <w:t>（</w:t>
            </w:r>
            <w:r>
              <w:rPr>
                <w:rFonts w:hint="default" w:ascii="Times New Roman" w:hAnsi="Times New Roman" w:eastAsia="宋体" w:cs="Times New Roman"/>
                <w:i w:val="0"/>
                <w:color w:val="000000"/>
                <w:spacing w:val="0"/>
                <w:w w:val="100"/>
                <w:kern w:val="0"/>
                <w:position w:val="0"/>
                <w:sz w:val="28"/>
                <w:szCs w:val="28"/>
                <w:u w:val="none"/>
                <w:bdr w:val="none" w:color="auto" w:sz="0" w:space="0"/>
                <w:shd w:val="clear" w:color="auto" w:fill="auto"/>
                <w:lang w:val="en-US" w:eastAsia="en-US" w:bidi="en-US"/>
              </w:rPr>
              <w:t xml:space="preserve">  2022  </w:t>
            </w: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en-US" w:bidi="en-US"/>
              </w:rPr>
              <w:t>年度）</w:t>
            </w:r>
          </w:p>
        </w:tc>
      </w:tr>
      <w:tr>
        <w:tblPrEx>
          <w:tblCellMar>
            <w:top w:w="0" w:type="dxa"/>
            <w:left w:w="0" w:type="dxa"/>
            <w:bottom w:w="0" w:type="dxa"/>
            <w:right w:w="0" w:type="dxa"/>
          </w:tblCellMar>
        </w:tblPrEx>
        <w:trPr>
          <w:trHeight w:val="834" w:hRule="atLeast"/>
        </w:trPr>
        <w:tc>
          <w:tcPr>
            <w:tcW w:w="1232"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部门（单位）名称</w:t>
            </w:r>
          </w:p>
        </w:tc>
        <w:tc>
          <w:tcPr>
            <w:tcW w:w="160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夹江县交通运输局</w:t>
            </w:r>
          </w:p>
        </w:tc>
        <w:tc>
          <w:tcPr>
            <w:tcW w:w="253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下属预算单位个数</w:t>
            </w:r>
          </w:p>
        </w:tc>
        <w:tc>
          <w:tcPr>
            <w:tcW w:w="4104"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14</w:t>
            </w:r>
          </w:p>
        </w:tc>
      </w:tr>
      <w:tr>
        <w:tblPrEx>
          <w:tblCellMar>
            <w:top w:w="0" w:type="dxa"/>
            <w:left w:w="0" w:type="dxa"/>
            <w:bottom w:w="0" w:type="dxa"/>
            <w:right w:w="0" w:type="dxa"/>
          </w:tblCellMar>
        </w:tblPrEx>
        <w:trPr>
          <w:trHeight w:val="374" w:hRule="atLeast"/>
        </w:trPr>
        <w:tc>
          <w:tcPr>
            <w:tcW w:w="71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年度履职目标</w:t>
            </w:r>
          </w:p>
        </w:tc>
        <w:tc>
          <w:tcPr>
            <w:tcW w:w="8765" w:type="dxa"/>
            <w:gridSpan w:val="9"/>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完成交通各项工作任务</w:t>
            </w:r>
          </w:p>
        </w:tc>
      </w:tr>
      <w:tr>
        <w:tblPrEx>
          <w:tblCellMar>
            <w:top w:w="0" w:type="dxa"/>
            <w:left w:w="0" w:type="dxa"/>
            <w:bottom w:w="0" w:type="dxa"/>
            <w:right w:w="0" w:type="dxa"/>
          </w:tblCellMar>
        </w:tblPrEx>
        <w:trPr>
          <w:trHeight w:val="374"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8765" w:type="dxa"/>
            <w:gridSpan w:val="9"/>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489"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8765" w:type="dxa"/>
            <w:gridSpan w:val="9"/>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834" w:hRule="atLeast"/>
        </w:trPr>
        <w:tc>
          <w:tcPr>
            <w:tcW w:w="71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年度重点任务</w:t>
            </w:r>
          </w:p>
        </w:tc>
        <w:tc>
          <w:tcPr>
            <w:tcW w:w="869"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内容</w:t>
            </w:r>
          </w:p>
        </w:tc>
        <w:tc>
          <w:tcPr>
            <w:tcW w:w="206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主要内容（重点工作计划）</w:t>
            </w:r>
          </w:p>
        </w:tc>
        <w:tc>
          <w:tcPr>
            <w:tcW w:w="5830"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预算情况</w:t>
            </w:r>
          </w:p>
        </w:tc>
      </w:tr>
      <w:tr>
        <w:tblPrEx>
          <w:tblCellMar>
            <w:top w:w="0" w:type="dxa"/>
            <w:left w:w="0" w:type="dxa"/>
            <w:bottom w:w="0" w:type="dxa"/>
            <w:right w:w="0" w:type="dxa"/>
          </w:tblCellMar>
        </w:tblPrEx>
        <w:trPr>
          <w:trHeight w:val="834"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69"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任务1</w:t>
            </w:r>
          </w:p>
        </w:tc>
        <w:tc>
          <w:tcPr>
            <w:tcW w:w="206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完成茶叶产业环线公路建设</w:t>
            </w:r>
          </w:p>
        </w:tc>
        <w:tc>
          <w:tcPr>
            <w:tcW w:w="3266"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一、部门整体预算总额（万元）</w:t>
            </w:r>
          </w:p>
        </w:tc>
        <w:tc>
          <w:tcPr>
            <w:tcW w:w="25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3315.4</w:t>
            </w:r>
          </w:p>
        </w:tc>
      </w:tr>
      <w:tr>
        <w:tblPrEx>
          <w:tblCellMar>
            <w:top w:w="0" w:type="dxa"/>
            <w:left w:w="0" w:type="dxa"/>
            <w:bottom w:w="0" w:type="dxa"/>
            <w:right w:w="0" w:type="dxa"/>
          </w:tblCellMar>
        </w:tblPrEx>
        <w:trPr>
          <w:trHeight w:val="834"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69"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任务2</w:t>
            </w:r>
          </w:p>
        </w:tc>
        <w:tc>
          <w:tcPr>
            <w:tcW w:w="206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完成国省县道养护</w:t>
            </w:r>
          </w:p>
        </w:tc>
        <w:tc>
          <w:tcPr>
            <w:tcW w:w="3266"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1、资金来源：（1）财政拨款</w:t>
            </w:r>
          </w:p>
        </w:tc>
        <w:tc>
          <w:tcPr>
            <w:tcW w:w="25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3315.4</w:t>
            </w:r>
          </w:p>
        </w:tc>
      </w:tr>
      <w:tr>
        <w:tblPrEx>
          <w:tblCellMar>
            <w:top w:w="0" w:type="dxa"/>
            <w:left w:w="0" w:type="dxa"/>
            <w:bottom w:w="0" w:type="dxa"/>
            <w:right w:w="0" w:type="dxa"/>
          </w:tblCellMar>
        </w:tblPrEx>
        <w:trPr>
          <w:trHeight w:val="834"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69"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任务3</w:t>
            </w:r>
          </w:p>
        </w:tc>
        <w:tc>
          <w:tcPr>
            <w:tcW w:w="206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继续推进公交化改造</w:t>
            </w:r>
          </w:p>
        </w:tc>
        <w:tc>
          <w:tcPr>
            <w:tcW w:w="3266"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 xml:space="preserve">             （2）其他资金</w:t>
            </w:r>
          </w:p>
        </w:tc>
        <w:tc>
          <w:tcPr>
            <w:tcW w:w="25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834"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69"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8"/>
                <w:szCs w:val="28"/>
                <w:u w:val="none"/>
              </w:rPr>
            </w:pPr>
          </w:p>
        </w:tc>
        <w:tc>
          <w:tcPr>
            <w:tcW w:w="206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266"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2、资金结构：（1）基本支出</w:t>
            </w:r>
          </w:p>
        </w:tc>
        <w:tc>
          <w:tcPr>
            <w:tcW w:w="25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1550.87</w:t>
            </w:r>
          </w:p>
        </w:tc>
      </w:tr>
      <w:tr>
        <w:tblPrEx>
          <w:tblCellMar>
            <w:top w:w="0" w:type="dxa"/>
            <w:left w:w="0" w:type="dxa"/>
            <w:bottom w:w="0" w:type="dxa"/>
            <w:right w:w="0" w:type="dxa"/>
          </w:tblCellMar>
        </w:tblPrEx>
        <w:trPr>
          <w:trHeight w:val="834"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69"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8"/>
                <w:szCs w:val="28"/>
                <w:u w:val="none"/>
              </w:rPr>
            </w:pPr>
          </w:p>
        </w:tc>
        <w:tc>
          <w:tcPr>
            <w:tcW w:w="206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266"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 xml:space="preserve">             （2）项目支出</w:t>
            </w:r>
          </w:p>
        </w:tc>
        <w:tc>
          <w:tcPr>
            <w:tcW w:w="25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1764.53</w:t>
            </w:r>
          </w:p>
        </w:tc>
      </w:tr>
      <w:tr>
        <w:tblPrEx>
          <w:tblCellMar>
            <w:top w:w="0" w:type="dxa"/>
            <w:left w:w="0" w:type="dxa"/>
            <w:bottom w:w="0" w:type="dxa"/>
            <w:right w:w="0" w:type="dxa"/>
          </w:tblCellMar>
        </w:tblPrEx>
        <w:trPr>
          <w:trHeight w:val="834"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69"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w:t>
            </w:r>
          </w:p>
        </w:tc>
        <w:tc>
          <w:tcPr>
            <w:tcW w:w="206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二、年末在职人数：</w:t>
            </w:r>
          </w:p>
        </w:tc>
        <w:tc>
          <w:tcPr>
            <w:tcW w:w="10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116</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内设机构数</w:t>
            </w:r>
          </w:p>
        </w:tc>
        <w:tc>
          <w:tcPr>
            <w:tcW w:w="13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6</w:t>
            </w:r>
          </w:p>
        </w:tc>
      </w:tr>
      <w:tr>
        <w:tblPrEx>
          <w:tblCellMar>
            <w:top w:w="0" w:type="dxa"/>
            <w:left w:w="0" w:type="dxa"/>
            <w:bottom w:w="0" w:type="dxa"/>
            <w:right w:w="0" w:type="dxa"/>
          </w:tblCellMar>
        </w:tblPrEx>
        <w:trPr>
          <w:trHeight w:val="431" w:hRule="atLeast"/>
        </w:trPr>
        <w:tc>
          <w:tcPr>
            <w:tcW w:w="9480" w:type="dxa"/>
            <w:gridSpan w:val="10"/>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分解目标</w:t>
            </w:r>
          </w:p>
        </w:tc>
      </w:tr>
      <w:tr>
        <w:tblPrEx>
          <w:tblCellMar>
            <w:top w:w="0" w:type="dxa"/>
            <w:left w:w="0" w:type="dxa"/>
            <w:bottom w:w="0" w:type="dxa"/>
            <w:right w:w="0" w:type="dxa"/>
          </w:tblCellMar>
        </w:tblPrEx>
        <w:trPr>
          <w:trHeight w:val="374"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一级指标</w:t>
            </w:r>
          </w:p>
        </w:tc>
        <w:tc>
          <w:tcPr>
            <w:tcW w:w="2066"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二级指标</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三级指标</w:t>
            </w:r>
          </w:p>
        </w:tc>
        <w:tc>
          <w:tcPr>
            <w:tcW w:w="3579" w:type="dxa"/>
            <w:gridSpan w:val="3"/>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指标值</w:t>
            </w:r>
          </w:p>
        </w:tc>
      </w:tr>
      <w:tr>
        <w:tblPrEx>
          <w:tblCellMar>
            <w:top w:w="0" w:type="dxa"/>
            <w:left w:w="0" w:type="dxa"/>
            <w:bottom w:w="0" w:type="dxa"/>
            <w:right w:w="0" w:type="dxa"/>
          </w:tblCellMar>
        </w:tblPrEx>
        <w:trPr>
          <w:trHeight w:val="374"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579"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834"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投入管理指标</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内控制度管理</w:t>
            </w:r>
          </w:p>
        </w:tc>
        <w:tc>
          <w:tcPr>
            <w:tcW w:w="225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内部控制制度建立</w:t>
            </w:r>
          </w:p>
        </w:tc>
        <w:tc>
          <w:tcPr>
            <w:tcW w:w="3579"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20</w:t>
            </w:r>
          </w:p>
        </w:tc>
      </w:tr>
      <w:tr>
        <w:tblPrEx>
          <w:tblCellMar>
            <w:top w:w="0" w:type="dxa"/>
            <w:left w:w="0" w:type="dxa"/>
            <w:bottom w:w="0" w:type="dxa"/>
            <w:right w:w="0" w:type="dxa"/>
          </w:tblCellMar>
        </w:tblPrEx>
        <w:trPr>
          <w:trHeight w:val="834"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6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预算编审管理</w:t>
            </w:r>
          </w:p>
        </w:tc>
        <w:tc>
          <w:tcPr>
            <w:tcW w:w="225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对所有单位预算审核</w:t>
            </w:r>
          </w:p>
        </w:tc>
        <w:tc>
          <w:tcPr>
            <w:tcW w:w="3579"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20</w:t>
            </w:r>
          </w:p>
        </w:tc>
      </w:tr>
      <w:tr>
        <w:tblPrEx>
          <w:tblCellMar>
            <w:top w:w="0" w:type="dxa"/>
            <w:left w:w="0" w:type="dxa"/>
            <w:bottom w:w="0" w:type="dxa"/>
            <w:right w:w="0" w:type="dxa"/>
          </w:tblCellMar>
        </w:tblPrEx>
        <w:trPr>
          <w:trHeight w:val="834"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6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预算执行管理</w:t>
            </w:r>
          </w:p>
        </w:tc>
        <w:tc>
          <w:tcPr>
            <w:tcW w:w="225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加强预算支出审核</w:t>
            </w:r>
          </w:p>
        </w:tc>
        <w:tc>
          <w:tcPr>
            <w:tcW w:w="3579"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10</w:t>
            </w:r>
          </w:p>
        </w:tc>
      </w:tr>
      <w:tr>
        <w:tblPrEx>
          <w:tblCellMar>
            <w:top w:w="0" w:type="dxa"/>
            <w:left w:w="0" w:type="dxa"/>
            <w:bottom w:w="0" w:type="dxa"/>
            <w:right w:w="0" w:type="dxa"/>
          </w:tblCellMar>
        </w:tblPrEx>
        <w:trPr>
          <w:trHeight w:val="834"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6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预算绩效管理</w:t>
            </w:r>
          </w:p>
        </w:tc>
        <w:tc>
          <w:tcPr>
            <w:tcW w:w="225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所有项目绩效管理</w:t>
            </w:r>
          </w:p>
        </w:tc>
        <w:tc>
          <w:tcPr>
            <w:tcW w:w="3579"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10</w:t>
            </w:r>
          </w:p>
        </w:tc>
      </w:tr>
      <w:tr>
        <w:tblPrEx>
          <w:tblCellMar>
            <w:top w:w="0" w:type="dxa"/>
            <w:left w:w="0" w:type="dxa"/>
            <w:bottom w:w="0" w:type="dxa"/>
            <w:right w:w="0" w:type="dxa"/>
          </w:tblCellMar>
        </w:tblPrEx>
        <w:trPr>
          <w:trHeight w:val="834"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6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预决算信息公开管理</w:t>
            </w:r>
          </w:p>
        </w:tc>
        <w:tc>
          <w:tcPr>
            <w:tcW w:w="225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及时公开</w:t>
            </w:r>
          </w:p>
        </w:tc>
        <w:tc>
          <w:tcPr>
            <w:tcW w:w="3579"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10</w:t>
            </w:r>
          </w:p>
        </w:tc>
      </w:tr>
      <w:tr>
        <w:tblPrEx>
          <w:tblCellMar>
            <w:top w:w="0" w:type="dxa"/>
            <w:left w:w="0" w:type="dxa"/>
            <w:bottom w:w="0" w:type="dxa"/>
            <w:right w:w="0" w:type="dxa"/>
          </w:tblCellMar>
        </w:tblPrEx>
        <w:trPr>
          <w:trHeight w:val="431"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6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政府采购管理</w:t>
            </w:r>
          </w:p>
        </w:tc>
        <w:tc>
          <w:tcPr>
            <w:tcW w:w="225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采购网公开采购</w:t>
            </w:r>
          </w:p>
        </w:tc>
        <w:tc>
          <w:tcPr>
            <w:tcW w:w="3579"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10</w:t>
            </w:r>
          </w:p>
        </w:tc>
      </w:tr>
      <w:tr>
        <w:tblPrEx>
          <w:tblCellMar>
            <w:top w:w="0" w:type="dxa"/>
            <w:left w:w="0" w:type="dxa"/>
            <w:bottom w:w="0" w:type="dxa"/>
            <w:right w:w="0" w:type="dxa"/>
          </w:tblCellMar>
        </w:tblPrEx>
        <w:trPr>
          <w:trHeight w:val="431"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6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资产管理</w:t>
            </w:r>
          </w:p>
        </w:tc>
        <w:tc>
          <w:tcPr>
            <w:tcW w:w="225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账实相符</w:t>
            </w:r>
          </w:p>
        </w:tc>
        <w:tc>
          <w:tcPr>
            <w:tcW w:w="3579"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20</w:t>
            </w:r>
          </w:p>
        </w:tc>
      </w:tr>
      <w:tr>
        <w:tblPrEx>
          <w:tblCellMar>
            <w:top w:w="0" w:type="dxa"/>
            <w:left w:w="0" w:type="dxa"/>
            <w:bottom w:w="0" w:type="dxa"/>
            <w:right w:w="0" w:type="dxa"/>
          </w:tblCellMar>
        </w:tblPrEx>
        <w:trPr>
          <w:trHeight w:val="834"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产出指标</w:t>
            </w:r>
          </w:p>
        </w:tc>
        <w:tc>
          <w:tcPr>
            <w:tcW w:w="2066"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数量指标</w:t>
            </w:r>
          </w:p>
        </w:tc>
        <w:tc>
          <w:tcPr>
            <w:tcW w:w="225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任务1：完成国省县道养护</w:t>
            </w:r>
          </w:p>
        </w:tc>
        <w:tc>
          <w:tcPr>
            <w:tcW w:w="3579"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100%</w:t>
            </w:r>
          </w:p>
        </w:tc>
      </w:tr>
      <w:tr>
        <w:tblPrEx>
          <w:tblCellMar>
            <w:top w:w="0" w:type="dxa"/>
            <w:left w:w="0" w:type="dxa"/>
            <w:bottom w:w="0" w:type="dxa"/>
            <w:right w:w="0" w:type="dxa"/>
          </w:tblCellMar>
        </w:tblPrEx>
        <w:trPr>
          <w:trHeight w:val="834"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任务2：公路建设</w:t>
            </w:r>
          </w:p>
        </w:tc>
        <w:tc>
          <w:tcPr>
            <w:tcW w:w="3579"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完成县道5公里建设</w:t>
            </w:r>
          </w:p>
        </w:tc>
      </w:tr>
      <w:tr>
        <w:tblPrEx>
          <w:tblCellMar>
            <w:top w:w="0" w:type="dxa"/>
            <w:left w:w="0" w:type="dxa"/>
            <w:bottom w:w="0" w:type="dxa"/>
            <w:right w:w="0" w:type="dxa"/>
          </w:tblCellMar>
        </w:tblPrEx>
        <w:trPr>
          <w:trHeight w:val="431"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w:t>
            </w:r>
          </w:p>
        </w:tc>
        <w:tc>
          <w:tcPr>
            <w:tcW w:w="3579"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834"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66"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质量指标</w:t>
            </w:r>
          </w:p>
        </w:tc>
        <w:tc>
          <w:tcPr>
            <w:tcW w:w="225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任务1：养护达到部检标准</w:t>
            </w:r>
          </w:p>
        </w:tc>
        <w:tc>
          <w:tcPr>
            <w:tcW w:w="3579"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公路通行率指标达93%</w:t>
            </w:r>
          </w:p>
        </w:tc>
      </w:tr>
      <w:tr>
        <w:tblPrEx>
          <w:tblCellMar>
            <w:top w:w="0" w:type="dxa"/>
            <w:left w:w="0" w:type="dxa"/>
            <w:bottom w:w="0" w:type="dxa"/>
            <w:right w:w="0" w:type="dxa"/>
          </w:tblCellMar>
        </w:tblPrEx>
        <w:trPr>
          <w:trHeight w:val="834"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任务2：公路建设质量</w:t>
            </w:r>
          </w:p>
        </w:tc>
        <w:tc>
          <w:tcPr>
            <w:tcW w:w="3579"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达到100%交工率</w:t>
            </w:r>
          </w:p>
        </w:tc>
      </w:tr>
      <w:tr>
        <w:tblPrEx>
          <w:tblCellMar>
            <w:top w:w="0" w:type="dxa"/>
            <w:left w:w="0" w:type="dxa"/>
            <w:bottom w:w="0" w:type="dxa"/>
            <w:right w:w="0" w:type="dxa"/>
          </w:tblCellMar>
        </w:tblPrEx>
        <w:trPr>
          <w:trHeight w:val="431"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w:t>
            </w:r>
          </w:p>
        </w:tc>
        <w:tc>
          <w:tcPr>
            <w:tcW w:w="3579"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834"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66"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时效指标</w:t>
            </w:r>
          </w:p>
        </w:tc>
        <w:tc>
          <w:tcPr>
            <w:tcW w:w="225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任务1：公路养护及时率</w:t>
            </w:r>
          </w:p>
        </w:tc>
        <w:tc>
          <w:tcPr>
            <w:tcW w:w="3579"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突发公路养护处置率100%</w:t>
            </w:r>
          </w:p>
        </w:tc>
      </w:tr>
      <w:tr>
        <w:tblPrEx>
          <w:tblCellMar>
            <w:top w:w="0" w:type="dxa"/>
            <w:left w:w="0" w:type="dxa"/>
            <w:bottom w:w="0" w:type="dxa"/>
            <w:right w:w="0" w:type="dxa"/>
          </w:tblCellMar>
        </w:tblPrEx>
        <w:trPr>
          <w:trHeight w:val="834"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任务2：公路建设工期</w:t>
            </w:r>
          </w:p>
        </w:tc>
        <w:tc>
          <w:tcPr>
            <w:tcW w:w="3579"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按合同约定工期完工率100%</w:t>
            </w:r>
          </w:p>
        </w:tc>
      </w:tr>
      <w:tr>
        <w:tblPrEx>
          <w:tblCellMar>
            <w:top w:w="0" w:type="dxa"/>
            <w:left w:w="0" w:type="dxa"/>
            <w:bottom w:w="0" w:type="dxa"/>
            <w:right w:w="0" w:type="dxa"/>
          </w:tblCellMar>
        </w:tblPrEx>
        <w:trPr>
          <w:trHeight w:val="431"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w:t>
            </w:r>
          </w:p>
        </w:tc>
        <w:tc>
          <w:tcPr>
            <w:tcW w:w="3579"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431"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6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w:t>
            </w:r>
          </w:p>
        </w:tc>
        <w:tc>
          <w:tcPr>
            <w:tcW w:w="225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579"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4"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效益指标</w:t>
            </w:r>
          </w:p>
        </w:tc>
        <w:tc>
          <w:tcPr>
            <w:tcW w:w="2066"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经济效益指标</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为全县经济发展提供保障</w:t>
            </w:r>
          </w:p>
        </w:tc>
        <w:tc>
          <w:tcPr>
            <w:tcW w:w="3579" w:type="dxa"/>
            <w:gridSpan w:val="3"/>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提供顺畅交通95%以上</w:t>
            </w:r>
          </w:p>
        </w:tc>
      </w:tr>
      <w:tr>
        <w:tblPrEx>
          <w:tblCellMar>
            <w:top w:w="0" w:type="dxa"/>
            <w:left w:w="0" w:type="dxa"/>
            <w:bottom w:w="0" w:type="dxa"/>
            <w:right w:w="0" w:type="dxa"/>
          </w:tblCellMar>
        </w:tblPrEx>
        <w:trPr>
          <w:trHeight w:val="46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579"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4"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66"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社会效益指标</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相关运输企业满意率</w:t>
            </w:r>
          </w:p>
        </w:tc>
        <w:tc>
          <w:tcPr>
            <w:tcW w:w="3579" w:type="dxa"/>
            <w:gridSpan w:val="3"/>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95%以上</w:t>
            </w:r>
          </w:p>
        </w:tc>
      </w:tr>
      <w:tr>
        <w:tblPrEx>
          <w:tblCellMar>
            <w:top w:w="0" w:type="dxa"/>
            <w:left w:w="0" w:type="dxa"/>
            <w:bottom w:w="0" w:type="dxa"/>
            <w:right w:w="0" w:type="dxa"/>
          </w:tblCellMar>
        </w:tblPrEx>
        <w:trPr>
          <w:trHeight w:val="46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579"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4"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66"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生态效益指标</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大力发展新能源公共交通</w:t>
            </w:r>
          </w:p>
        </w:tc>
        <w:tc>
          <w:tcPr>
            <w:tcW w:w="3579" w:type="dxa"/>
            <w:gridSpan w:val="3"/>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城市公交100%改造为新能源车辆</w:t>
            </w:r>
          </w:p>
        </w:tc>
      </w:tr>
      <w:tr>
        <w:tblPrEx>
          <w:tblCellMar>
            <w:top w:w="0" w:type="dxa"/>
            <w:left w:w="0" w:type="dxa"/>
            <w:bottom w:w="0" w:type="dxa"/>
            <w:right w:w="0" w:type="dxa"/>
          </w:tblCellMar>
        </w:tblPrEx>
        <w:trPr>
          <w:trHeight w:val="46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579"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431"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6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w:t>
            </w:r>
          </w:p>
        </w:tc>
        <w:tc>
          <w:tcPr>
            <w:tcW w:w="225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579"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4"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满意度指标</w:t>
            </w:r>
          </w:p>
        </w:tc>
        <w:tc>
          <w:tcPr>
            <w:tcW w:w="2066"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满意度指标</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群众满意度</w:t>
            </w:r>
          </w:p>
        </w:tc>
        <w:tc>
          <w:tcPr>
            <w:tcW w:w="3579" w:type="dxa"/>
            <w:gridSpan w:val="3"/>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pacing w:val="0"/>
                <w:w w:val="100"/>
                <w:kern w:val="0"/>
                <w:position w:val="0"/>
                <w:sz w:val="28"/>
                <w:szCs w:val="28"/>
                <w:u w:val="none"/>
                <w:bdr w:val="none" w:color="auto" w:sz="0" w:space="0"/>
                <w:shd w:val="clear" w:color="auto" w:fill="auto"/>
                <w:lang w:val="en-US" w:eastAsia="zh-CN" w:bidi="ar"/>
              </w:rPr>
              <w:t>95%以上</w:t>
            </w:r>
          </w:p>
        </w:tc>
      </w:tr>
      <w:tr>
        <w:tblPrEx>
          <w:tblCellMar>
            <w:top w:w="0" w:type="dxa"/>
            <w:left w:w="0" w:type="dxa"/>
            <w:bottom w:w="0" w:type="dxa"/>
            <w:right w:w="0" w:type="dxa"/>
          </w:tblCellMar>
        </w:tblPrEx>
        <w:trPr>
          <w:trHeight w:val="374"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579"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bl>
    <w:p>
      <w:pPr>
        <w:sectPr>
          <w:headerReference r:id="rId29" w:type="default"/>
          <w:footerReference r:id="rId31" w:type="default"/>
          <w:headerReference r:id="rId30" w:type="even"/>
          <w:footerReference r:id="rId32" w:type="even"/>
          <w:footnotePr>
            <w:numFmt w:val="decimal"/>
          </w:footnotePr>
          <w:pgSz w:w="11900" w:h="16840"/>
          <w:pgMar w:top="1830" w:right="1116" w:bottom="1753" w:left="1068" w:header="0" w:footer="1325" w:gutter="0"/>
          <w:cols w:space="720" w:num="1"/>
          <w:rtlGutter w:val="0"/>
          <w:docGrid w:linePitch="360" w:charSpace="0"/>
        </w:sectPr>
      </w:pPr>
    </w:p>
    <w:p>
      <w:pPr>
        <w:pStyle w:val="13"/>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r>
        <w:rPr>
          <w:b/>
          <w:bCs/>
          <w:color w:val="000000"/>
          <w:spacing w:val="0"/>
          <w:w w:val="100"/>
          <w:position w:val="0"/>
        </w:rPr>
        <w:t>第三部分</w:t>
      </w:r>
      <w:r>
        <w:rPr>
          <w:rFonts w:hint="eastAsia"/>
          <w:b/>
          <w:bCs/>
          <w:color w:val="000000"/>
          <w:spacing w:val="0"/>
          <w:w w:val="100"/>
          <w:position w:val="0"/>
          <w:lang w:eastAsia="zh-CN"/>
        </w:rPr>
        <w:t>夹江县交通运输局</w:t>
      </w:r>
    </w:p>
    <w:p>
      <w:pPr>
        <w:pStyle w:val="13"/>
        <w:keepNext w:val="0"/>
        <w:keepLines w:val="0"/>
        <w:widowControl w:val="0"/>
        <w:shd w:val="clear" w:color="auto" w:fill="auto"/>
        <w:bidi w:val="0"/>
        <w:spacing w:before="0" w:after="0" w:line="240" w:lineRule="auto"/>
        <w:ind w:left="0" w:right="0" w:firstLine="0"/>
        <w:jc w:val="center"/>
        <w:sectPr>
          <w:headerReference r:id="rId33" w:type="default"/>
          <w:footerReference r:id="rId35" w:type="default"/>
          <w:headerReference r:id="rId34" w:type="even"/>
          <w:footerReference r:id="rId36" w:type="even"/>
          <w:footnotePr>
            <w:numFmt w:val="decimal"/>
          </w:footnotePr>
          <w:pgSz w:w="11900" w:h="16840"/>
          <w:pgMar w:top="5252" w:right="1111" w:bottom="5252" w:left="1073" w:header="4824" w:footer="3" w:gutter="0"/>
          <w:pgNumType w:start="33"/>
          <w:cols w:space="720" w:num="1"/>
          <w:rtlGutter w:val="0"/>
          <w:docGrid w:linePitch="360" w:charSpace="0"/>
        </w:sectPr>
      </w:pPr>
      <w:r>
        <w:rPr>
          <w:b/>
          <w:bCs/>
          <w:color w:val="000000"/>
          <w:spacing w:val="0"/>
          <w:w w:val="100"/>
          <w:position w:val="0"/>
        </w:rPr>
        <w:t>2022年部门预算情况说明</w:t>
      </w:r>
    </w:p>
    <w:p>
      <w:pPr>
        <w:pStyle w:val="11"/>
        <w:keepNext w:val="0"/>
        <w:keepLines w:val="0"/>
        <w:widowControl w:val="0"/>
        <w:shd w:val="clear" w:color="auto" w:fill="auto"/>
        <w:tabs>
          <w:tab w:val="left" w:pos="1781"/>
        </w:tabs>
        <w:bidi w:val="0"/>
        <w:spacing w:before="260" w:after="0" w:line="240" w:lineRule="auto"/>
        <w:ind w:left="1140" w:right="0" w:firstLine="0"/>
        <w:jc w:val="left"/>
      </w:pPr>
      <w:bookmarkStart w:id="12" w:name="bookmark52"/>
      <w:r>
        <w:rPr>
          <w:b/>
          <w:bCs/>
          <w:color w:val="000000"/>
          <w:spacing w:val="0"/>
          <w:w w:val="100"/>
          <w:position w:val="0"/>
        </w:rPr>
        <w:t>一</w:t>
      </w:r>
      <w:bookmarkEnd w:id="12"/>
      <w:r>
        <w:rPr>
          <w:b/>
          <w:bCs/>
          <w:color w:val="000000"/>
          <w:spacing w:val="0"/>
          <w:w w:val="100"/>
          <w:position w:val="0"/>
        </w:rPr>
        <w:t>、</w:t>
      </w:r>
      <w:r>
        <w:rPr>
          <w:b/>
          <w:bCs/>
          <w:color w:val="000000"/>
          <w:spacing w:val="0"/>
          <w:w w:val="100"/>
          <w:position w:val="0"/>
        </w:rPr>
        <w:tab/>
      </w:r>
      <w:r>
        <w:rPr>
          <w:b/>
          <w:bCs/>
          <w:color w:val="000000"/>
          <w:spacing w:val="0"/>
          <w:w w:val="100"/>
          <w:position w:val="0"/>
        </w:rPr>
        <w:t>收支预算情况说明</w:t>
      </w:r>
    </w:p>
    <w:p>
      <w:pPr>
        <w:pStyle w:val="11"/>
        <w:keepNext w:val="0"/>
        <w:keepLines w:val="0"/>
        <w:widowControl w:val="0"/>
        <w:shd w:val="clear" w:color="auto" w:fill="auto"/>
        <w:bidi w:val="0"/>
        <w:spacing w:before="0" w:after="280" w:line="600" w:lineRule="exact"/>
        <w:ind w:left="520" w:right="0" w:firstLine="640"/>
        <w:jc w:val="both"/>
      </w:pPr>
      <w:r>
        <w:rPr>
          <w:color w:val="000000"/>
          <w:spacing w:val="0"/>
          <w:w w:val="100"/>
          <w:position w:val="0"/>
        </w:rPr>
        <w:t>按照综合预算的原则，</w:t>
      </w:r>
      <w:r>
        <w:rPr>
          <w:rFonts w:hint="eastAsia"/>
          <w:color w:val="000000"/>
          <w:spacing w:val="0"/>
          <w:w w:val="100"/>
          <w:position w:val="0"/>
          <w:lang w:eastAsia="zh-CN"/>
        </w:rPr>
        <w:t>夹江县交通运输局</w:t>
      </w:r>
      <w:r>
        <w:rPr>
          <w:color w:val="000000"/>
          <w:spacing w:val="0"/>
          <w:w w:val="100"/>
          <w:position w:val="0"/>
        </w:rPr>
        <w:t>所有收入和支出均纳入部门预算管理。收入包括：：一般公共预算拨款收入、其他收入和上年结转；支出包括：：一般公共服务支出、教育支出、社会保障和就业支出、卫生健康支出和住房保障支出。</w:t>
      </w:r>
      <w:r>
        <w:rPr>
          <w:rFonts w:hint="eastAsia"/>
          <w:color w:val="000000"/>
          <w:spacing w:val="0"/>
          <w:w w:val="100"/>
          <w:position w:val="0"/>
          <w:lang w:val="en-US" w:eastAsia="zh-CN"/>
        </w:rPr>
        <w:t>夹江县交通运输局</w:t>
      </w:r>
      <w:r>
        <w:rPr>
          <w:color w:val="000000"/>
          <w:spacing w:val="0"/>
          <w:w w:val="100"/>
          <w:position w:val="0"/>
        </w:rPr>
        <w:t>2022年收支预算总数为</w:t>
      </w:r>
      <w:r>
        <w:rPr>
          <w:rFonts w:hint="eastAsia"/>
          <w:color w:val="000000"/>
          <w:spacing w:val="0"/>
          <w:w w:val="100"/>
          <w:position w:val="0"/>
          <w:lang w:val="en-US" w:eastAsia="zh-CN"/>
        </w:rPr>
        <w:t>3507.69</w:t>
      </w:r>
      <w:r>
        <w:rPr>
          <w:color w:val="000000"/>
          <w:spacing w:val="0"/>
          <w:w w:val="100"/>
          <w:position w:val="0"/>
        </w:rPr>
        <w:t>万元，比2021年收支预算总数增加</w:t>
      </w:r>
      <w:r>
        <w:rPr>
          <w:rFonts w:hint="eastAsia"/>
          <w:color w:val="000000"/>
          <w:spacing w:val="0"/>
          <w:w w:val="100"/>
          <w:position w:val="0"/>
          <w:lang w:val="en-US" w:eastAsia="zh-CN"/>
        </w:rPr>
        <w:t>2875.62</w:t>
      </w:r>
      <w:r>
        <w:rPr>
          <w:color w:val="000000"/>
          <w:spacing w:val="0"/>
          <w:w w:val="100"/>
          <w:position w:val="0"/>
        </w:rPr>
        <w:t>万元，主要原因是人员经费支出政策有所调整。</w:t>
      </w:r>
    </w:p>
    <w:p>
      <w:pPr>
        <w:pStyle w:val="15"/>
        <w:keepNext w:val="0"/>
        <w:keepLines w:val="0"/>
        <w:widowControl w:val="0"/>
        <w:shd w:val="clear" w:color="auto" w:fill="auto"/>
        <w:tabs>
          <w:tab w:val="left" w:pos="1909"/>
        </w:tabs>
        <w:bidi w:val="0"/>
        <w:spacing w:before="0" w:after="0" w:line="240" w:lineRule="auto"/>
        <w:ind w:left="1320" w:right="0" w:firstLine="0"/>
        <w:jc w:val="left"/>
      </w:pPr>
      <w:bookmarkStart w:id="13" w:name="bookmark53"/>
      <w:r>
        <w:rPr>
          <w:b/>
          <w:bCs/>
          <w:color w:val="000000"/>
          <w:spacing w:val="0"/>
          <w:w w:val="100"/>
          <w:position w:val="0"/>
        </w:rPr>
        <w:t>（</w:t>
      </w:r>
      <w:bookmarkEnd w:id="13"/>
      <w:r>
        <w:rPr>
          <w:b/>
          <w:bCs/>
          <w:color w:val="000000"/>
          <w:spacing w:val="0"/>
          <w:w w:val="100"/>
          <w:position w:val="0"/>
        </w:rPr>
        <w:t>一）收入预算情况</w:t>
      </w:r>
    </w:p>
    <w:p>
      <w:pPr>
        <w:pStyle w:val="11"/>
        <w:keepNext w:val="0"/>
        <w:keepLines w:val="0"/>
        <w:widowControl w:val="0"/>
        <w:shd w:val="clear" w:color="auto" w:fill="auto"/>
        <w:bidi w:val="0"/>
        <w:spacing w:before="0" w:after="0" w:line="600" w:lineRule="exact"/>
        <w:ind w:left="520" w:right="0" w:firstLine="640"/>
        <w:jc w:val="both"/>
      </w:pPr>
      <w:r>
        <w:rPr>
          <w:rFonts w:hint="eastAsia"/>
          <w:color w:val="000000"/>
          <w:spacing w:val="0"/>
          <w:w w:val="100"/>
          <w:position w:val="0"/>
          <w:lang w:eastAsia="zh-CN"/>
        </w:rPr>
        <w:t>夹江县交通运输局</w:t>
      </w:r>
      <w:r>
        <w:rPr>
          <w:color w:val="000000"/>
          <w:spacing w:val="0"/>
          <w:w w:val="100"/>
          <w:position w:val="0"/>
        </w:rPr>
        <w:t>2022年收入预算为</w:t>
      </w:r>
      <w:r>
        <w:rPr>
          <w:rFonts w:hint="eastAsia"/>
          <w:color w:val="000000"/>
          <w:spacing w:val="0"/>
          <w:w w:val="100"/>
          <w:position w:val="0"/>
          <w:lang w:val="en-US" w:eastAsia="zh-CN" w:bidi="en-US"/>
        </w:rPr>
        <w:t>3507.69</w:t>
      </w:r>
      <w:r>
        <w:rPr>
          <w:color w:val="000000"/>
          <w:spacing w:val="0"/>
          <w:w w:val="100"/>
          <w:position w:val="0"/>
        </w:rPr>
        <w:t>万元，其中：上年结转</w:t>
      </w:r>
      <w:r>
        <w:rPr>
          <w:rFonts w:hint="eastAsia"/>
          <w:color w:val="000000"/>
          <w:spacing w:val="0"/>
          <w:w w:val="100"/>
          <w:position w:val="0"/>
          <w:lang w:val="en-US" w:eastAsia="zh-CN"/>
        </w:rPr>
        <w:t>1130.13</w:t>
      </w:r>
      <w:r>
        <w:rPr>
          <w:color w:val="000000"/>
          <w:spacing w:val="0"/>
          <w:w w:val="100"/>
          <w:position w:val="0"/>
        </w:rPr>
        <w:t>万元，占</w:t>
      </w:r>
      <w:r>
        <w:rPr>
          <w:rFonts w:hint="eastAsia"/>
          <w:color w:val="000000"/>
          <w:spacing w:val="0"/>
          <w:w w:val="100"/>
          <w:position w:val="0"/>
          <w:lang w:val="en-US" w:eastAsia="zh-CN"/>
        </w:rPr>
        <w:t>32</w:t>
      </w:r>
      <w:r>
        <w:rPr>
          <w:color w:val="000000"/>
          <w:spacing w:val="0"/>
          <w:w w:val="100"/>
          <w:position w:val="0"/>
        </w:rPr>
        <w:t>%；—般公共预算拨款收入</w:t>
      </w:r>
      <w:r>
        <w:rPr>
          <w:rFonts w:hint="eastAsia"/>
          <w:color w:val="000000"/>
          <w:spacing w:val="0"/>
          <w:w w:val="100"/>
          <w:position w:val="0"/>
          <w:lang w:val="en-US" w:eastAsia="zh-CN"/>
        </w:rPr>
        <w:t>3507.69</w:t>
      </w:r>
      <w:r>
        <w:rPr>
          <w:color w:val="000000"/>
          <w:spacing w:val="0"/>
          <w:w w:val="100"/>
          <w:position w:val="0"/>
        </w:rPr>
        <w:t>万元，占</w:t>
      </w:r>
      <w:r>
        <w:rPr>
          <w:rFonts w:hint="eastAsia"/>
          <w:color w:val="000000"/>
          <w:spacing w:val="0"/>
          <w:w w:val="100"/>
          <w:position w:val="0"/>
          <w:lang w:val="en-US" w:eastAsia="zh-CN"/>
        </w:rPr>
        <w:t>68</w:t>
      </w:r>
      <w:r>
        <w:rPr>
          <w:color w:val="000000"/>
          <w:spacing w:val="0"/>
          <w:w w:val="100"/>
          <w:position w:val="0"/>
        </w:rPr>
        <w:t>%；其他收入</w:t>
      </w:r>
      <w:r>
        <w:rPr>
          <w:rFonts w:hint="eastAsia"/>
          <w:color w:val="000000"/>
          <w:spacing w:val="0"/>
          <w:w w:val="100"/>
          <w:position w:val="0"/>
          <w:lang w:val="en-US" w:eastAsia="zh-CN"/>
        </w:rPr>
        <w:t>0</w:t>
      </w:r>
      <w:r>
        <w:rPr>
          <w:color w:val="000000"/>
          <w:spacing w:val="0"/>
          <w:w w:val="100"/>
          <w:position w:val="0"/>
        </w:rPr>
        <w:t>万元，占</w:t>
      </w:r>
      <w:r>
        <w:rPr>
          <w:rFonts w:hint="eastAsia"/>
          <w:color w:val="000000"/>
          <w:spacing w:val="0"/>
          <w:w w:val="100"/>
          <w:position w:val="0"/>
          <w:lang w:val="en-US" w:eastAsia="zh-CN"/>
        </w:rPr>
        <w:t>0</w:t>
      </w:r>
      <w:r>
        <w:rPr>
          <w:color w:val="000000"/>
          <w:spacing w:val="0"/>
          <w:w w:val="100"/>
          <w:position w:val="0"/>
        </w:rPr>
        <w:t>%.</w:t>
      </w:r>
    </w:p>
    <w:p>
      <w:pPr>
        <w:pStyle w:val="15"/>
        <w:keepNext w:val="0"/>
        <w:keepLines w:val="0"/>
        <w:widowControl w:val="0"/>
        <w:shd w:val="clear" w:color="auto" w:fill="auto"/>
        <w:tabs>
          <w:tab w:val="left" w:pos="1909"/>
        </w:tabs>
        <w:bidi w:val="0"/>
        <w:spacing w:before="0" w:after="0" w:line="598" w:lineRule="exact"/>
        <w:ind w:left="1320" w:right="0" w:firstLine="0"/>
        <w:jc w:val="left"/>
      </w:pPr>
      <w:bookmarkStart w:id="14" w:name="bookmark54"/>
      <w:r>
        <w:rPr>
          <w:color w:val="000000"/>
          <w:spacing w:val="0"/>
          <w:w w:val="100"/>
          <w:position w:val="0"/>
        </w:rPr>
        <w:t>（</w:t>
      </w:r>
      <w:bookmarkEnd w:id="14"/>
      <w:r>
        <w:rPr>
          <w:color w:val="000000"/>
          <w:spacing w:val="0"/>
          <w:w w:val="100"/>
          <w:position w:val="0"/>
        </w:rPr>
        <w:t>二）支出预算情况</w:t>
      </w:r>
    </w:p>
    <w:p>
      <w:pPr>
        <w:pStyle w:val="11"/>
        <w:keepNext w:val="0"/>
        <w:keepLines w:val="0"/>
        <w:widowControl w:val="0"/>
        <w:shd w:val="clear" w:color="auto" w:fill="auto"/>
        <w:bidi w:val="0"/>
        <w:spacing w:before="0" w:after="0" w:line="598" w:lineRule="exact"/>
        <w:ind w:left="520" w:right="0" w:firstLine="640"/>
        <w:jc w:val="both"/>
      </w:pPr>
      <w:r>
        <w:rPr>
          <w:rFonts w:hint="eastAsia"/>
          <w:color w:val="000000"/>
          <w:spacing w:val="0"/>
          <w:w w:val="100"/>
          <w:position w:val="0"/>
          <w:lang w:eastAsia="zh-CN"/>
        </w:rPr>
        <w:t>夹江县交通运输局</w:t>
      </w:r>
      <w:r>
        <w:rPr>
          <w:color w:val="000000"/>
          <w:spacing w:val="0"/>
          <w:w w:val="100"/>
          <w:position w:val="0"/>
        </w:rPr>
        <w:t>2022年支出预算为</w:t>
      </w:r>
      <w:r>
        <w:rPr>
          <w:rFonts w:hint="eastAsia"/>
          <w:color w:val="000000"/>
          <w:spacing w:val="0"/>
          <w:w w:val="100"/>
          <w:position w:val="0"/>
          <w:lang w:val="en-US" w:eastAsia="zh-CN"/>
        </w:rPr>
        <w:t>3507.69</w:t>
      </w:r>
      <w:r>
        <w:rPr>
          <w:color w:val="000000"/>
          <w:spacing w:val="0"/>
          <w:w w:val="100"/>
          <w:position w:val="0"/>
        </w:rPr>
        <w:t>万元，其中:：基本支出</w:t>
      </w:r>
      <w:r>
        <w:rPr>
          <w:rFonts w:hint="eastAsia"/>
          <w:color w:val="000000"/>
          <w:spacing w:val="0"/>
          <w:w w:val="100"/>
          <w:position w:val="0"/>
          <w:lang w:val="en-US" w:eastAsia="zh-CN"/>
        </w:rPr>
        <w:t>1550.82</w:t>
      </w:r>
      <w:r>
        <w:rPr>
          <w:color w:val="000000"/>
          <w:spacing w:val="0"/>
          <w:w w:val="100"/>
          <w:position w:val="0"/>
        </w:rPr>
        <w:t>万元，占</w:t>
      </w:r>
      <w:r>
        <w:rPr>
          <w:rFonts w:hint="eastAsia"/>
          <w:color w:val="000000"/>
          <w:spacing w:val="0"/>
          <w:w w:val="100"/>
          <w:position w:val="0"/>
          <w:lang w:val="en-US" w:eastAsia="zh-CN"/>
        </w:rPr>
        <w:t>42.03</w:t>
      </w:r>
      <w:r>
        <w:rPr>
          <w:color w:val="000000"/>
          <w:spacing w:val="0"/>
          <w:w w:val="100"/>
          <w:position w:val="0"/>
        </w:rPr>
        <w:t>%;项目支出</w:t>
      </w:r>
      <w:r>
        <w:rPr>
          <w:rFonts w:hint="eastAsia"/>
          <w:color w:val="000000"/>
          <w:spacing w:val="0"/>
          <w:w w:val="100"/>
          <w:position w:val="0"/>
          <w:lang w:val="en-US" w:eastAsia="zh-CN"/>
        </w:rPr>
        <w:t>1956.88</w:t>
      </w:r>
      <w:r>
        <w:rPr>
          <w:color w:val="000000"/>
          <w:spacing w:val="0"/>
          <w:w w:val="100"/>
          <w:position w:val="0"/>
        </w:rPr>
        <w:t>万元，占</w:t>
      </w:r>
      <w:r>
        <w:rPr>
          <w:rFonts w:hint="eastAsia"/>
          <w:color w:val="000000"/>
          <w:spacing w:val="0"/>
          <w:w w:val="100"/>
          <w:position w:val="0"/>
          <w:lang w:val="en-US" w:eastAsia="zh-CN"/>
        </w:rPr>
        <w:t>57.97</w:t>
      </w:r>
      <w:r>
        <w:rPr>
          <w:color w:val="000000"/>
          <w:spacing w:val="0"/>
          <w:w w:val="100"/>
          <w:position w:val="0"/>
        </w:rPr>
        <w:t>%.</w:t>
      </w:r>
    </w:p>
    <w:p>
      <w:pPr>
        <w:pStyle w:val="11"/>
        <w:keepNext w:val="0"/>
        <w:keepLines w:val="0"/>
        <w:widowControl w:val="0"/>
        <w:shd w:val="clear" w:color="auto" w:fill="auto"/>
        <w:tabs>
          <w:tab w:val="left" w:pos="1781"/>
        </w:tabs>
        <w:bidi w:val="0"/>
        <w:spacing w:before="0" w:after="0" w:line="600" w:lineRule="exact"/>
        <w:ind w:left="1140" w:right="0" w:firstLine="0"/>
        <w:jc w:val="left"/>
      </w:pPr>
      <w:bookmarkStart w:id="15" w:name="bookmark55"/>
      <w:r>
        <w:rPr>
          <w:b/>
          <w:bCs/>
          <w:color w:val="000000"/>
          <w:spacing w:val="0"/>
          <w:w w:val="100"/>
          <w:position w:val="0"/>
        </w:rPr>
        <w:t>二</w:t>
      </w:r>
      <w:bookmarkEnd w:id="15"/>
      <w:r>
        <w:rPr>
          <w:b/>
          <w:bCs/>
          <w:color w:val="000000"/>
          <w:spacing w:val="0"/>
          <w:w w:val="100"/>
          <w:position w:val="0"/>
        </w:rPr>
        <w:t>、</w:t>
      </w:r>
      <w:r>
        <w:rPr>
          <w:b/>
          <w:bCs/>
          <w:color w:val="000000"/>
          <w:spacing w:val="0"/>
          <w:w w:val="100"/>
          <w:position w:val="0"/>
        </w:rPr>
        <w:tab/>
      </w:r>
      <w:r>
        <w:rPr>
          <w:b/>
          <w:bCs/>
          <w:color w:val="000000"/>
          <w:spacing w:val="0"/>
          <w:w w:val="100"/>
          <w:position w:val="0"/>
        </w:rPr>
        <w:t>财政拨款收支预算情况说明</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605" w:lineRule="exact"/>
        <w:ind w:left="0" w:right="0" w:firstLine="600" w:firstLineChars="200"/>
        <w:jc w:val="both"/>
        <w:textAlignment w:val="auto"/>
        <w:rPr>
          <w:b w:val="0"/>
          <w:bCs w:val="0"/>
          <w:i w:val="0"/>
          <w:iCs w:val="0"/>
          <w:smallCaps w:val="0"/>
          <w:strike w:val="0"/>
          <w:color w:val="000000"/>
          <w:spacing w:val="0"/>
          <w:w w:val="100"/>
          <w:position w:val="0"/>
        </w:rPr>
      </w:pPr>
      <w:r>
        <w:rPr>
          <w:rFonts w:hint="eastAsia"/>
          <w:b w:val="0"/>
          <w:bCs w:val="0"/>
          <w:i w:val="0"/>
          <w:iCs w:val="0"/>
          <w:smallCaps w:val="0"/>
          <w:strike w:val="0"/>
          <w:color w:val="000000"/>
          <w:spacing w:val="0"/>
          <w:w w:val="100"/>
          <w:position w:val="0"/>
          <w:lang w:eastAsia="zh-CN"/>
        </w:rPr>
        <w:t>夹江县交通运输局</w:t>
      </w:r>
      <w:r>
        <w:rPr>
          <w:b w:val="0"/>
          <w:bCs w:val="0"/>
          <w:i w:val="0"/>
          <w:iCs w:val="0"/>
          <w:smallCaps w:val="0"/>
          <w:strike w:val="0"/>
          <w:color w:val="000000"/>
          <w:spacing w:val="0"/>
          <w:w w:val="100"/>
          <w:position w:val="0"/>
        </w:rPr>
        <w:t>2022年财政拨款收支总预算为</w:t>
      </w:r>
      <w:r>
        <w:rPr>
          <w:rFonts w:hint="eastAsia"/>
          <w:b w:val="0"/>
          <w:bCs w:val="0"/>
          <w:i w:val="0"/>
          <w:iCs w:val="0"/>
          <w:smallCaps w:val="0"/>
          <w:strike w:val="0"/>
          <w:color w:val="000000"/>
          <w:spacing w:val="0"/>
          <w:w w:val="100"/>
          <w:position w:val="0"/>
          <w:lang w:val="en-US" w:eastAsia="zh-CN"/>
        </w:rPr>
        <w:t>3507.69</w:t>
      </w:r>
      <w:r>
        <w:rPr>
          <w:b w:val="0"/>
          <w:bCs w:val="0"/>
          <w:i w:val="0"/>
          <w:iCs w:val="0"/>
          <w:smallCaps w:val="0"/>
          <w:strike w:val="0"/>
          <w:color w:val="000000"/>
          <w:spacing w:val="0"/>
          <w:w w:val="100"/>
          <w:position w:val="0"/>
        </w:rPr>
        <w:t>万元，比2021年财政拨款收支总预算增加</w:t>
      </w:r>
      <w:r>
        <w:rPr>
          <w:rFonts w:hint="eastAsia"/>
          <w:b w:val="0"/>
          <w:bCs w:val="0"/>
          <w:i w:val="0"/>
          <w:iCs w:val="0"/>
          <w:smallCaps w:val="0"/>
          <w:strike w:val="0"/>
          <w:color w:val="000000"/>
          <w:spacing w:val="0"/>
          <w:w w:val="100"/>
          <w:position w:val="0"/>
          <w:lang w:val="en-US" w:eastAsia="zh-CN"/>
        </w:rPr>
        <w:t>2875.62</w:t>
      </w:r>
      <w:r>
        <w:rPr>
          <w:b w:val="0"/>
          <w:bCs w:val="0"/>
          <w:i w:val="0"/>
          <w:iCs w:val="0"/>
          <w:smallCaps w:val="0"/>
          <w:strike w:val="0"/>
          <w:color w:val="000000"/>
          <w:spacing w:val="0"/>
          <w:w w:val="100"/>
          <w:position w:val="0"/>
        </w:rPr>
        <w:t>万元，主要原因是人员经费支出政策有所调整。</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605" w:lineRule="exact"/>
        <w:ind w:left="0" w:right="0" w:firstLine="600" w:firstLineChars="200"/>
        <w:jc w:val="both"/>
        <w:textAlignment w:val="auto"/>
        <w:rPr>
          <w:rFonts w:hint="default" w:eastAsia="宋体"/>
          <w:lang w:val="en-US" w:eastAsia="zh-CN"/>
        </w:rPr>
      </w:pPr>
      <w:r>
        <w:rPr>
          <w:color w:val="000000"/>
          <w:spacing w:val="0"/>
          <w:w w:val="100"/>
          <w:position w:val="0"/>
        </w:rPr>
        <w:t>收入包括：本年一般公共预算拨款收入</w:t>
      </w:r>
      <w:r>
        <w:rPr>
          <w:rFonts w:hint="eastAsia"/>
          <w:color w:val="000000"/>
          <w:spacing w:val="0"/>
          <w:w w:val="100"/>
          <w:position w:val="0"/>
          <w:lang w:val="en-US" w:eastAsia="zh-CN"/>
        </w:rPr>
        <w:t>2377.56</w:t>
      </w:r>
      <w:r>
        <w:rPr>
          <w:color w:val="000000"/>
          <w:spacing w:val="0"/>
          <w:w w:val="100"/>
          <w:position w:val="0"/>
        </w:rPr>
        <w:t>万元、上年结转一般公共预算拨款收入</w:t>
      </w:r>
      <w:r>
        <w:rPr>
          <w:rFonts w:hint="eastAsia"/>
          <w:color w:val="000000"/>
          <w:spacing w:val="0"/>
          <w:w w:val="100"/>
          <w:position w:val="0"/>
          <w:lang w:val="en-US" w:eastAsia="zh-CN"/>
        </w:rPr>
        <w:t>1130.13</w:t>
      </w:r>
      <w:r>
        <w:rPr>
          <w:color w:val="000000"/>
          <w:spacing w:val="0"/>
          <w:w w:val="100"/>
          <w:position w:val="0"/>
        </w:rPr>
        <w:t>万元；支出包括：：一般公共服务支出</w:t>
      </w:r>
      <w:r>
        <w:rPr>
          <w:rFonts w:hint="eastAsia"/>
          <w:color w:val="000000"/>
          <w:spacing w:val="0"/>
          <w:w w:val="100"/>
          <w:position w:val="0"/>
          <w:lang w:val="en-US" w:eastAsia="zh-CN"/>
        </w:rPr>
        <w:t>0</w:t>
      </w:r>
      <w:r>
        <w:rPr>
          <w:color w:val="000000"/>
          <w:spacing w:val="0"/>
          <w:w w:val="100"/>
          <w:position w:val="0"/>
        </w:rPr>
        <w:t>万元、教育支出</w:t>
      </w:r>
      <w:r>
        <w:rPr>
          <w:rFonts w:hint="eastAsia"/>
          <w:color w:val="000000"/>
          <w:spacing w:val="0"/>
          <w:w w:val="100"/>
          <w:position w:val="0"/>
          <w:lang w:val="en-US" w:eastAsia="zh-CN"/>
        </w:rPr>
        <w:t>23.05</w:t>
      </w:r>
      <w:r>
        <w:rPr>
          <w:color w:val="000000"/>
          <w:spacing w:val="0"/>
          <w:w w:val="100"/>
          <w:position w:val="0"/>
        </w:rPr>
        <w:t>万元、社会保障和就业支出</w:t>
      </w:r>
      <w:r>
        <w:rPr>
          <w:rFonts w:hint="eastAsia"/>
          <w:color w:val="000000"/>
          <w:spacing w:val="0"/>
          <w:w w:val="100"/>
          <w:position w:val="0"/>
          <w:lang w:val="en-US" w:eastAsia="zh-CN"/>
        </w:rPr>
        <w:t>167.69</w:t>
      </w:r>
      <w:r>
        <w:rPr>
          <w:color w:val="000000"/>
          <w:spacing w:val="0"/>
          <w:w w:val="100"/>
          <w:position w:val="0"/>
        </w:rPr>
        <w:t>万元、卫生健康支出</w:t>
      </w:r>
      <w:r>
        <w:rPr>
          <w:rFonts w:hint="eastAsia"/>
          <w:color w:val="000000"/>
          <w:spacing w:val="0"/>
          <w:w w:val="100"/>
          <w:position w:val="0"/>
          <w:lang w:val="en-US" w:eastAsia="zh-CN" w:bidi="en-US"/>
        </w:rPr>
        <w:t>71.33</w:t>
      </w:r>
      <w:r>
        <w:rPr>
          <w:color w:val="000000"/>
          <w:spacing w:val="0"/>
          <w:w w:val="100"/>
          <w:position w:val="0"/>
        </w:rPr>
        <w:t>万元、住房保障支出</w:t>
      </w:r>
      <w:r>
        <w:rPr>
          <w:rFonts w:hint="eastAsia"/>
          <w:color w:val="000000"/>
          <w:spacing w:val="0"/>
          <w:w w:val="100"/>
          <w:position w:val="0"/>
          <w:lang w:val="en-US" w:eastAsia="zh-CN" w:bidi="en-US"/>
        </w:rPr>
        <w:t>155.09</w:t>
      </w:r>
      <w:r>
        <w:rPr>
          <w:color w:val="000000"/>
          <w:spacing w:val="0"/>
          <w:w w:val="100"/>
          <w:position w:val="0"/>
        </w:rPr>
        <w:t>万元</w:t>
      </w:r>
      <w:r>
        <w:rPr>
          <w:rFonts w:hint="eastAsia"/>
          <w:color w:val="000000"/>
          <w:spacing w:val="0"/>
          <w:w w:val="100"/>
          <w:position w:val="0"/>
          <w:lang w:eastAsia="zh-CN"/>
        </w:rPr>
        <w:t>、交通运输支出</w:t>
      </w:r>
      <w:r>
        <w:rPr>
          <w:rFonts w:hint="eastAsia"/>
          <w:color w:val="000000"/>
          <w:spacing w:val="0"/>
          <w:w w:val="100"/>
          <w:position w:val="0"/>
          <w:lang w:val="en-US" w:eastAsia="zh-CN"/>
        </w:rPr>
        <w:t>3030.54万元、其他支出60.00万元。</w:t>
      </w:r>
    </w:p>
    <w:p>
      <w:pPr>
        <w:pStyle w:val="11"/>
        <w:keepNext w:val="0"/>
        <w:keepLines w:val="0"/>
        <w:widowControl w:val="0"/>
        <w:shd w:val="clear" w:color="auto" w:fill="auto"/>
        <w:bidi w:val="0"/>
        <w:spacing w:before="0" w:after="0" w:line="601" w:lineRule="exact"/>
        <w:ind w:left="1160" w:right="0" w:firstLine="0"/>
        <w:jc w:val="both"/>
      </w:pPr>
      <w:r>
        <w:rPr>
          <w:b/>
          <w:bCs/>
          <w:color w:val="000000"/>
          <w:spacing w:val="0"/>
          <w:w w:val="100"/>
          <w:position w:val="0"/>
        </w:rPr>
        <w:t>三、一般公共预算当年拨款情况说明</w:t>
      </w:r>
    </w:p>
    <w:p>
      <w:pPr>
        <w:pStyle w:val="15"/>
        <w:keepNext w:val="0"/>
        <w:keepLines w:val="0"/>
        <w:widowControl w:val="0"/>
        <w:shd w:val="clear" w:color="auto" w:fill="auto"/>
        <w:tabs>
          <w:tab w:val="left" w:pos="1879"/>
        </w:tabs>
        <w:bidi w:val="0"/>
        <w:spacing w:before="0" w:after="0" w:line="601" w:lineRule="exact"/>
        <w:ind w:left="1300" w:right="0" w:firstLine="0"/>
        <w:jc w:val="left"/>
      </w:pPr>
      <w:bookmarkStart w:id="16" w:name="bookmark56"/>
      <w:r>
        <w:rPr>
          <w:color w:val="000000"/>
          <w:spacing w:val="0"/>
          <w:w w:val="100"/>
          <w:position w:val="0"/>
        </w:rPr>
        <w:t>（</w:t>
      </w:r>
      <w:bookmarkEnd w:id="16"/>
      <w:r>
        <w:rPr>
          <w:color w:val="000000"/>
          <w:spacing w:val="0"/>
          <w:w w:val="100"/>
          <w:position w:val="0"/>
        </w:rPr>
        <w:t>一）一般公共预算当年拨款规模变化情况</w:t>
      </w:r>
    </w:p>
    <w:p>
      <w:pPr>
        <w:pStyle w:val="11"/>
        <w:keepNext w:val="0"/>
        <w:keepLines w:val="0"/>
        <w:widowControl w:val="0"/>
        <w:shd w:val="clear" w:color="auto" w:fill="auto"/>
        <w:bidi w:val="0"/>
        <w:spacing w:before="0" w:after="0" w:line="601" w:lineRule="exact"/>
        <w:ind w:left="500" w:right="0" w:firstLine="660"/>
        <w:jc w:val="both"/>
      </w:pPr>
      <w:r>
        <w:rPr>
          <w:rFonts w:hint="eastAsia"/>
          <w:color w:val="000000"/>
          <w:spacing w:val="0"/>
          <w:w w:val="100"/>
          <w:position w:val="0"/>
          <w:lang w:eastAsia="zh-CN"/>
        </w:rPr>
        <w:t>夹江县交通运输局</w:t>
      </w:r>
      <w:r>
        <w:rPr>
          <w:color w:val="000000"/>
          <w:spacing w:val="0"/>
          <w:w w:val="100"/>
          <w:position w:val="0"/>
        </w:rPr>
        <w:t>2022年一般公共预算当年拨款</w:t>
      </w:r>
      <w:r>
        <w:rPr>
          <w:rFonts w:hint="eastAsia"/>
          <w:color w:val="000000"/>
          <w:spacing w:val="0"/>
          <w:w w:val="100"/>
          <w:position w:val="0"/>
          <w:lang w:val="en-US" w:eastAsia="zh-CN"/>
        </w:rPr>
        <w:t>3507.69</w:t>
      </w:r>
      <w:r>
        <w:rPr>
          <w:color w:val="000000"/>
          <w:spacing w:val="0"/>
          <w:w w:val="100"/>
          <w:position w:val="0"/>
        </w:rPr>
        <w:t>万元，比2021年一般公共预算当年拨款数增加</w:t>
      </w:r>
      <w:r>
        <w:rPr>
          <w:rFonts w:hint="eastAsia"/>
          <w:color w:val="000000"/>
          <w:spacing w:val="0"/>
          <w:w w:val="100"/>
          <w:position w:val="0"/>
          <w:lang w:val="en-US" w:eastAsia="zh-CN"/>
        </w:rPr>
        <w:t>2875.62</w:t>
      </w:r>
      <w:r>
        <w:rPr>
          <w:color w:val="000000"/>
          <w:spacing w:val="0"/>
          <w:w w:val="100"/>
          <w:position w:val="0"/>
        </w:rPr>
        <w:t>万元，主要原因是人员经费支出政策有所</w:t>
      </w:r>
      <w:r>
        <w:rPr>
          <w:color w:val="000000"/>
          <w:spacing w:val="0"/>
          <w:w w:val="100"/>
          <w:position w:val="0"/>
          <w:lang w:val="zh-CN" w:eastAsia="zh-CN" w:bidi="zh-CN"/>
        </w:rPr>
        <w:t>调整.</w:t>
      </w:r>
    </w:p>
    <w:p>
      <w:pPr>
        <w:pStyle w:val="15"/>
        <w:keepNext w:val="0"/>
        <w:keepLines w:val="0"/>
        <w:widowControl w:val="0"/>
        <w:shd w:val="clear" w:color="auto" w:fill="auto"/>
        <w:tabs>
          <w:tab w:val="left" w:pos="1879"/>
        </w:tabs>
        <w:bidi w:val="0"/>
        <w:spacing w:before="0" w:after="0" w:line="601" w:lineRule="exact"/>
        <w:ind w:left="1300" w:right="0" w:firstLine="0"/>
        <w:jc w:val="left"/>
      </w:pPr>
      <w:bookmarkStart w:id="17" w:name="bookmark57"/>
      <w:r>
        <w:rPr>
          <w:color w:val="000000"/>
          <w:spacing w:val="0"/>
          <w:w w:val="100"/>
          <w:position w:val="0"/>
        </w:rPr>
        <w:t>（</w:t>
      </w:r>
      <w:bookmarkEnd w:id="17"/>
      <w:r>
        <w:rPr>
          <w:color w:val="000000"/>
          <w:spacing w:val="0"/>
          <w:w w:val="100"/>
          <w:position w:val="0"/>
        </w:rPr>
        <w:t>二）一般公共预算当年拨款结构情况</w:t>
      </w:r>
    </w:p>
    <w:p>
      <w:pPr>
        <w:pStyle w:val="11"/>
        <w:keepNext w:val="0"/>
        <w:keepLines w:val="0"/>
        <w:widowControl w:val="0"/>
        <w:shd w:val="clear" w:color="auto" w:fill="auto"/>
        <w:bidi w:val="0"/>
        <w:spacing w:before="0" w:after="0" w:line="601" w:lineRule="exact"/>
        <w:ind w:left="500" w:right="0" w:firstLine="660"/>
        <w:jc w:val="both"/>
        <w:rPr>
          <w:rFonts w:hint="default" w:eastAsia="宋体"/>
          <w:b w:val="0"/>
          <w:bCs w:val="0"/>
          <w:i w:val="0"/>
          <w:iCs w:val="0"/>
          <w:smallCaps w:val="0"/>
          <w:strike w:val="0"/>
          <w:color w:val="000000"/>
          <w:spacing w:val="0"/>
          <w:w w:val="100"/>
          <w:position w:val="0"/>
          <w:lang w:val="en-US" w:eastAsia="zh-CN"/>
        </w:rPr>
      </w:pPr>
      <w:r>
        <w:rPr>
          <w:b w:val="0"/>
          <w:bCs w:val="0"/>
          <w:i w:val="0"/>
          <w:iCs w:val="0"/>
          <w:smallCaps w:val="0"/>
          <w:strike w:val="0"/>
          <w:color w:val="000000"/>
          <w:spacing w:val="0"/>
          <w:w w:val="100"/>
          <w:position w:val="0"/>
        </w:rPr>
        <w:t>一般公共服务支出</w:t>
      </w:r>
      <w:r>
        <w:rPr>
          <w:rFonts w:hint="eastAsia"/>
          <w:b w:val="0"/>
          <w:bCs w:val="0"/>
          <w:i w:val="0"/>
          <w:iCs w:val="0"/>
          <w:smallCaps w:val="0"/>
          <w:strike w:val="0"/>
          <w:color w:val="000000"/>
          <w:spacing w:val="0"/>
          <w:w w:val="100"/>
          <w:position w:val="0"/>
          <w:lang w:val="en-US" w:eastAsia="zh-CN"/>
        </w:rPr>
        <w:t>0</w:t>
      </w:r>
      <w:r>
        <w:rPr>
          <w:b w:val="0"/>
          <w:bCs w:val="0"/>
          <w:i w:val="0"/>
          <w:iCs w:val="0"/>
          <w:smallCaps w:val="0"/>
          <w:strike w:val="0"/>
          <w:color w:val="000000"/>
          <w:spacing w:val="0"/>
          <w:w w:val="100"/>
          <w:position w:val="0"/>
        </w:rPr>
        <w:t>万元，占</w:t>
      </w:r>
      <w:r>
        <w:rPr>
          <w:rFonts w:hint="eastAsia"/>
          <w:b w:val="0"/>
          <w:bCs w:val="0"/>
          <w:i w:val="0"/>
          <w:iCs w:val="0"/>
          <w:smallCaps w:val="0"/>
          <w:strike w:val="0"/>
          <w:color w:val="000000"/>
          <w:spacing w:val="0"/>
          <w:w w:val="100"/>
          <w:position w:val="0"/>
          <w:lang w:val="en-US" w:eastAsia="zh-CN"/>
        </w:rPr>
        <w:t>0</w:t>
      </w:r>
      <w:r>
        <w:rPr>
          <w:b w:val="0"/>
          <w:bCs w:val="0"/>
          <w:i w:val="0"/>
          <w:iCs w:val="0"/>
          <w:smallCaps w:val="0"/>
          <w:strike w:val="0"/>
          <w:color w:val="000000"/>
          <w:spacing w:val="0"/>
          <w:w w:val="100"/>
          <w:position w:val="0"/>
        </w:rPr>
        <w:t>%；教育支出</w:t>
      </w:r>
      <w:r>
        <w:rPr>
          <w:rFonts w:hint="eastAsia"/>
          <w:b w:val="0"/>
          <w:bCs w:val="0"/>
          <w:i w:val="0"/>
          <w:iCs w:val="0"/>
          <w:smallCaps w:val="0"/>
          <w:strike w:val="0"/>
          <w:color w:val="000000"/>
          <w:spacing w:val="0"/>
          <w:w w:val="100"/>
          <w:position w:val="0"/>
          <w:lang w:val="en-US" w:eastAsia="zh-CN"/>
        </w:rPr>
        <w:t>23.05</w:t>
      </w:r>
      <w:r>
        <w:rPr>
          <w:b w:val="0"/>
          <w:bCs w:val="0"/>
          <w:i w:val="0"/>
          <w:iCs w:val="0"/>
          <w:smallCaps w:val="0"/>
          <w:strike w:val="0"/>
          <w:color w:val="000000"/>
          <w:spacing w:val="0"/>
          <w:w w:val="100"/>
          <w:position w:val="0"/>
        </w:rPr>
        <w:t>万元，占</w:t>
      </w:r>
      <w:r>
        <w:rPr>
          <w:rFonts w:hint="eastAsia"/>
          <w:b w:val="0"/>
          <w:bCs w:val="0"/>
          <w:i w:val="0"/>
          <w:iCs w:val="0"/>
          <w:smallCaps w:val="0"/>
          <w:strike w:val="0"/>
          <w:color w:val="000000"/>
          <w:spacing w:val="0"/>
          <w:w w:val="100"/>
          <w:position w:val="0"/>
          <w:lang w:val="en-US" w:eastAsia="zh-CN"/>
        </w:rPr>
        <w:t>3.2</w:t>
      </w:r>
      <w:r>
        <w:rPr>
          <w:b w:val="0"/>
          <w:bCs w:val="0"/>
          <w:i w:val="0"/>
          <w:iCs w:val="0"/>
          <w:smallCaps w:val="0"/>
          <w:strike w:val="0"/>
          <w:color w:val="000000"/>
          <w:spacing w:val="0"/>
          <w:w w:val="100"/>
          <w:position w:val="0"/>
        </w:rPr>
        <w:t>%;社会保障和就业支出</w:t>
      </w:r>
      <w:r>
        <w:rPr>
          <w:rFonts w:hint="eastAsia"/>
          <w:b w:val="0"/>
          <w:bCs w:val="0"/>
          <w:i w:val="0"/>
          <w:iCs w:val="0"/>
          <w:smallCaps w:val="0"/>
          <w:strike w:val="0"/>
          <w:color w:val="000000"/>
          <w:spacing w:val="0"/>
          <w:w w:val="100"/>
          <w:position w:val="0"/>
          <w:lang w:val="en-US" w:eastAsia="zh-CN"/>
        </w:rPr>
        <w:t>167.69</w:t>
      </w:r>
      <w:r>
        <w:rPr>
          <w:b w:val="0"/>
          <w:bCs w:val="0"/>
          <w:i w:val="0"/>
          <w:iCs w:val="0"/>
          <w:smallCaps w:val="0"/>
          <w:strike w:val="0"/>
          <w:color w:val="000000"/>
          <w:spacing w:val="0"/>
          <w:w w:val="100"/>
          <w:position w:val="0"/>
        </w:rPr>
        <w:t>万元，占</w:t>
      </w:r>
      <w:bookmarkStart w:id="18" w:name="bookmark58"/>
      <w:bookmarkEnd w:id="18"/>
      <w:r>
        <w:rPr>
          <w:rFonts w:hint="eastAsia"/>
          <w:b w:val="0"/>
          <w:bCs w:val="0"/>
          <w:i w:val="0"/>
          <w:iCs w:val="0"/>
          <w:smallCaps w:val="0"/>
          <w:strike w:val="0"/>
          <w:color w:val="000000"/>
          <w:spacing w:val="0"/>
          <w:w w:val="100"/>
          <w:position w:val="0"/>
          <w:lang w:val="en-US" w:eastAsia="zh-CN"/>
        </w:rPr>
        <w:t>20.3</w:t>
      </w:r>
      <w:r>
        <w:rPr>
          <w:b w:val="0"/>
          <w:bCs w:val="0"/>
          <w:i w:val="0"/>
          <w:iCs w:val="0"/>
          <w:smallCaps w:val="0"/>
          <w:strike w:val="0"/>
          <w:color w:val="000000"/>
          <w:spacing w:val="0"/>
          <w:w w:val="100"/>
          <w:position w:val="0"/>
        </w:rPr>
        <w:t>%；卫生健康支出</w:t>
      </w:r>
      <w:r>
        <w:rPr>
          <w:rFonts w:hint="eastAsia"/>
          <w:b w:val="0"/>
          <w:bCs w:val="0"/>
          <w:i w:val="0"/>
          <w:iCs w:val="0"/>
          <w:smallCaps w:val="0"/>
          <w:strike w:val="0"/>
          <w:color w:val="000000"/>
          <w:spacing w:val="0"/>
          <w:w w:val="100"/>
          <w:position w:val="0"/>
          <w:lang w:val="en-US" w:eastAsia="zh-CN"/>
        </w:rPr>
        <w:t>71.33</w:t>
      </w:r>
      <w:r>
        <w:rPr>
          <w:b w:val="0"/>
          <w:bCs w:val="0"/>
          <w:i w:val="0"/>
          <w:iCs w:val="0"/>
          <w:smallCaps w:val="0"/>
          <w:strike w:val="0"/>
          <w:color w:val="000000"/>
          <w:spacing w:val="0"/>
          <w:w w:val="100"/>
          <w:position w:val="0"/>
        </w:rPr>
        <w:t>万元，占</w:t>
      </w:r>
      <w:r>
        <w:rPr>
          <w:rFonts w:hint="eastAsia"/>
          <w:b w:val="0"/>
          <w:bCs w:val="0"/>
          <w:i w:val="0"/>
          <w:iCs w:val="0"/>
          <w:smallCaps w:val="0"/>
          <w:strike w:val="0"/>
          <w:color w:val="000000"/>
          <w:spacing w:val="0"/>
          <w:w w:val="100"/>
          <w:position w:val="0"/>
          <w:lang w:val="en-US" w:eastAsia="zh-CN"/>
        </w:rPr>
        <w:t>9.2</w:t>
      </w:r>
      <w:r>
        <w:rPr>
          <w:b w:val="0"/>
          <w:bCs w:val="0"/>
          <w:i w:val="0"/>
          <w:iCs w:val="0"/>
          <w:smallCaps w:val="0"/>
          <w:strike w:val="0"/>
          <w:color w:val="000000"/>
          <w:spacing w:val="0"/>
          <w:w w:val="100"/>
          <w:position w:val="0"/>
        </w:rPr>
        <w:t>%;住房保障支出</w:t>
      </w:r>
      <w:r>
        <w:rPr>
          <w:rFonts w:hint="eastAsia"/>
          <w:b w:val="0"/>
          <w:bCs w:val="0"/>
          <w:i w:val="0"/>
          <w:iCs w:val="0"/>
          <w:smallCaps w:val="0"/>
          <w:strike w:val="0"/>
          <w:color w:val="000000"/>
          <w:spacing w:val="0"/>
          <w:w w:val="100"/>
          <w:position w:val="0"/>
          <w:lang w:val="en-US" w:eastAsia="zh-CN"/>
        </w:rPr>
        <w:t>155.09</w:t>
      </w:r>
      <w:r>
        <w:rPr>
          <w:b w:val="0"/>
          <w:bCs w:val="0"/>
          <w:i w:val="0"/>
          <w:iCs w:val="0"/>
          <w:smallCaps w:val="0"/>
          <w:strike w:val="0"/>
          <w:color w:val="000000"/>
          <w:spacing w:val="0"/>
          <w:w w:val="100"/>
          <w:position w:val="0"/>
        </w:rPr>
        <w:t>万元，占</w:t>
      </w:r>
      <w:r>
        <w:rPr>
          <w:rFonts w:hint="eastAsia"/>
          <w:b w:val="0"/>
          <w:bCs w:val="0"/>
          <w:i w:val="0"/>
          <w:iCs w:val="0"/>
          <w:smallCaps w:val="0"/>
          <w:strike w:val="0"/>
          <w:color w:val="000000"/>
          <w:spacing w:val="0"/>
          <w:w w:val="100"/>
          <w:position w:val="0"/>
          <w:lang w:val="en-US" w:eastAsia="zh-CN"/>
        </w:rPr>
        <w:t>19.1</w:t>
      </w:r>
      <w:r>
        <w:rPr>
          <w:b w:val="0"/>
          <w:bCs w:val="0"/>
          <w:i w:val="0"/>
          <w:iCs w:val="0"/>
          <w:smallCaps w:val="0"/>
          <w:strike w:val="0"/>
          <w:color w:val="000000"/>
          <w:spacing w:val="0"/>
          <w:w w:val="100"/>
          <w:position w:val="0"/>
        </w:rPr>
        <w:t>%.</w:t>
      </w:r>
      <w:r>
        <w:rPr>
          <w:rFonts w:hint="eastAsia"/>
          <w:b w:val="0"/>
          <w:bCs w:val="0"/>
          <w:i w:val="0"/>
          <w:iCs w:val="0"/>
          <w:smallCaps w:val="0"/>
          <w:strike w:val="0"/>
          <w:color w:val="000000"/>
          <w:spacing w:val="0"/>
          <w:w w:val="100"/>
          <w:position w:val="0"/>
          <w:lang w:eastAsia="zh-CN"/>
        </w:rPr>
        <w:t>交通运输支出</w:t>
      </w:r>
      <w:r>
        <w:rPr>
          <w:rFonts w:hint="eastAsia"/>
          <w:b w:val="0"/>
          <w:bCs w:val="0"/>
          <w:i w:val="0"/>
          <w:iCs w:val="0"/>
          <w:smallCaps w:val="0"/>
          <w:strike w:val="0"/>
          <w:color w:val="000000"/>
          <w:spacing w:val="0"/>
          <w:w w:val="100"/>
          <w:position w:val="0"/>
          <w:lang w:val="en-US" w:eastAsia="zh-CN"/>
        </w:rPr>
        <w:t>3030.54万元，占40.3%、其他支出60.00万元，占8.1%。</w:t>
      </w:r>
    </w:p>
    <w:p>
      <w:pPr>
        <w:pStyle w:val="15"/>
        <w:keepNext w:val="0"/>
        <w:keepLines w:val="0"/>
        <w:widowControl w:val="0"/>
        <w:shd w:val="clear" w:color="auto" w:fill="auto"/>
        <w:tabs>
          <w:tab w:val="left" w:pos="1879"/>
        </w:tabs>
        <w:bidi w:val="0"/>
        <w:spacing w:before="0" w:after="0" w:line="601" w:lineRule="exact"/>
        <w:ind w:left="1300" w:right="0" w:firstLine="0"/>
        <w:jc w:val="left"/>
      </w:pPr>
      <w:bookmarkStart w:id="19" w:name="bookmark59"/>
      <w:r>
        <w:rPr>
          <w:color w:val="000000"/>
          <w:spacing w:val="0"/>
          <w:w w:val="100"/>
          <w:position w:val="0"/>
        </w:rPr>
        <w:t>（</w:t>
      </w:r>
      <w:bookmarkEnd w:id="19"/>
      <w:r>
        <w:rPr>
          <w:color w:val="000000"/>
          <w:spacing w:val="0"/>
          <w:w w:val="100"/>
          <w:position w:val="0"/>
        </w:rPr>
        <w:t>三）一般公共预算当年拨款具体使用情况</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605" w:lineRule="exact"/>
        <w:ind w:left="0" w:right="0" w:firstLine="600" w:firstLineChars="200"/>
        <w:jc w:val="both"/>
        <w:textAlignment w:val="auto"/>
        <w:rPr>
          <w:rFonts w:hint="eastAsia"/>
          <w:b w:val="0"/>
          <w:bCs w:val="0"/>
          <w:i w:val="0"/>
          <w:iCs w:val="0"/>
          <w:smallCaps w:val="0"/>
          <w:strike w:val="0"/>
          <w:color w:val="000000"/>
          <w:spacing w:val="0"/>
          <w:w w:val="100"/>
          <w:position w:val="0"/>
          <w:lang w:eastAsia="zh-CN"/>
        </w:rPr>
      </w:pPr>
      <w:bookmarkStart w:id="20" w:name="bookmark60"/>
      <w:bookmarkEnd w:id="20"/>
      <w:bookmarkStart w:id="21" w:name="bookmark77"/>
      <w:r>
        <w:rPr>
          <w:rFonts w:hint="eastAsia"/>
          <w:b w:val="0"/>
          <w:bCs w:val="0"/>
          <w:i w:val="0"/>
          <w:iCs w:val="0"/>
          <w:smallCaps w:val="0"/>
          <w:strike w:val="0"/>
          <w:color w:val="000000"/>
          <w:spacing w:val="0"/>
          <w:w w:val="100"/>
          <w:position w:val="0"/>
          <w:lang w:val="en-US" w:eastAsia="zh-CN"/>
        </w:rPr>
        <w:t>教育支出</w:t>
      </w:r>
      <w:r>
        <w:rPr>
          <w:rFonts w:hint="eastAsia"/>
          <w:b w:val="0"/>
          <w:bCs w:val="0"/>
          <w:i w:val="0"/>
          <w:iCs w:val="0"/>
          <w:smallCaps w:val="0"/>
          <w:strike w:val="0"/>
          <w:color w:val="000000"/>
          <w:spacing w:val="0"/>
          <w:w w:val="100"/>
          <w:position w:val="0"/>
          <w:lang w:eastAsia="zh-CN"/>
        </w:rPr>
        <w:t>（类）</w:t>
      </w:r>
      <w:r>
        <w:rPr>
          <w:rFonts w:hint="eastAsia"/>
          <w:b w:val="0"/>
          <w:bCs w:val="0"/>
          <w:i w:val="0"/>
          <w:iCs w:val="0"/>
          <w:smallCaps w:val="0"/>
          <w:strike w:val="0"/>
          <w:color w:val="000000"/>
          <w:spacing w:val="0"/>
          <w:w w:val="100"/>
          <w:position w:val="0"/>
          <w:lang w:val="en-US" w:eastAsia="zh-CN"/>
        </w:rPr>
        <w:t>进修及培训</w:t>
      </w:r>
      <w:r>
        <w:rPr>
          <w:rFonts w:hint="eastAsia"/>
          <w:b w:val="0"/>
          <w:bCs w:val="0"/>
          <w:i w:val="0"/>
          <w:iCs w:val="0"/>
          <w:smallCaps w:val="0"/>
          <w:strike w:val="0"/>
          <w:color w:val="000000"/>
          <w:spacing w:val="0"/>
          <w:w w:val="100"/>
          <w:position w:val="0"/>
          <w:lang w:eastAsia="zh-CN"/>
        </w:rPr>
        <w:t>（款）</w:t>
      </w:r>
      <w:r>
        <w:rPr>
          <w:rFonts w:hint="eastAsia"/>
          <w:b w:val="0"/>
          <w:bCs w:val="0"/>
          <w:i w:val="0"/>
          <w:iCs w:val="0"/>
          <w:smallCaps w:val="0"/>
          <w:strike w:val="0"/>
          <w:color w:val="000000"/>
          <w:spacing w:val="0"/>
          <w:w w:val="100"/>
          <w:position w:val="0"/>
          <w:lang w:val="en-US" w:eastAsia="zh-CN"/>
        </w:rPr>
        <w:t>培训支出</w:t>
      </w:r>
      <w:r>
        <w:rPr>
          <w:rFonts w:hint="eastAsia"/>
          <w:b w:val="0"/>
          <w:bCs w:val="0"/>
          <w:i w:val="0"/>
          <w:iCs w:val="0"/>
          <w:smallCaps w:val="0"/>
          <w:strike w:val="0"/>
          <w:color w:val="000000"/>
          <w:spacing w:val="0"/>
          <w:w w:val="100"/>
          <w:position w:val="0"/>
          <w:lang w:eastAsia="zh-CN"/>
        </w:rPr>
        <w:t>（项）:202</w:t>
      </w:r>
      <w:r>
        <w:rPr>
          <w:rFonts w:hint="eastAsia"/>
          <w:b w:val="0"/>
          <w:bCs w:val="0"/>
          <w:i w:val="0"/>
          <w:iCs w:val="0"/>
          <w:smallCaps w:val="0"/>
          <w:strike w:val="0"/>
          <w:color w:val="000000"/>
          <w:spacing w:val="0"/>
          <w:w w:val="100"/>
          <w:position w:val="0"/>
          <w:lang w:val="en-US" w:eastAsia="zh-CN"/>
        </w:rPr>
        <w:t>2</w:t>
      </w:r>
      <w:r>
        <w:rPr>
          <w:rFonts w:hint="eastAsia"/>
          <w:b w:val="0"/>
          <w:bCs w:val="0"/>
          <w:i w:val="0"/>
          <w:iCs w:val="0"/>
          <w:smallCaps w:val="0"/>
          <w:strike w:val="0"/>
          <w:color w:val="000000"/>
          <w:spacing w:val="0"/>
          <w:w w:val="100"/>
          <w:position w:val="0"/>
          <w:lang w:eastAsia="zh-CN"/>
        </w:rPr>
        <w:t>年预算数为</w:t>
      </w:r>
      <w:r>
        <w:rPr>
          <w:rFonts w:hint="eastAsia"/>
          <w:b w:val="0"/>
          <w:bCs w:val="0"/>
          <w:i w:val="0"/>
          <w:iCs w:val="0"/>
          <w:smallCaps w:val="0"/>
          <w:strike w:val="0"/>
          <w:color w:val="000000"/>
          <w:spacing w:val="0"/>
          <w:w w:val="100"/>
          <w:position w:val="0"/>
          <w:lang w:val="en-US" w:eastAsia="zh-CN"/>
        </w:rPr>
        <w:t>23.05</w:t>
      </w:r>
      <w:r>
        <w:rPr>
          <w:rFonts w:hint="eastAsia"/>
          <w:b w:val="0"/>
          <w:bCs w:val="0"/>
          <w:i w:val="0"/>
          <w:iCs w:val="0"/>
          <w:smallCaps w:val="0"/>
          <w:strike w:val="0"/>
          <w:color w:val="000000"/>
          <w:spacing w:val="0"/>
          <w:w w:val="100"/>
          <w:position w:val="0"/>
          <w:lang w:eastAsia="zh-CN"/>
        </w:rPr>
        <w:t>万元，主要用于：单位</w:t>
      </w:r>
      <w:r>
        <w:rPr>
          <w:rFonts w:hint="eastAsia"/>
          <w:b w:val="0"/>
          <w:bCs w:val="0"/>
          <w:i w:val="0"/>
          <w:iCs w:val="0"/>
          <w:smallCaps w:val="0"/>
          <w:strike w:val="0"/>
          <w:color w:val="000000"/>
          <w:spacing w:val="0"/>
          <w:w w:val="100"/>
          <w:position w:val="0"/>
          <w:lang w:val="en-US" w:eastAsia="zh-CN"/>
        </w:rPr>
        <w:t>干部职工各类培训支出</w:t>
      </w:r>
      <w:r>
        <w:rPr>
          <w:rFonts w:hint="eastAsia"/>
          <w:b w:val="0"/>
          <w:bCs w:val="0"/>
          <w:i w:val="0"/>
          <w:iCs w:val="0"/>
          <w:smallCaps w:val="0"/>
          <w:strike w:val="0"/>
          <w:color w:val="000000"/>
          <w:spacing w:val="0"/>
          <w:w w:val="100"/>
          <w:position w:val="0"/>
          <w:lang w:eastAsia="zh-CN"/>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605" w:lineRule="exact"/>
        <w:ind w:left="0" w:right="0" w:firstLine="600" w:firstLineChars="200"/>
        <w:jc w:val="both"/>
        <w:textAlignment w:val="auto"/>
        <w:rPr>
          <w:rFonts w:hint="eastAsia"/>
          <w:b w:val="0"/>
          <w:bCs w:val="0"/>
          <w:i w:val="0"/>
          <w:iCs w:val="0"/>
          <w:smallCaps w:val="0"/>
          <w:strike w:val="0"/>
          <w:color w:val="000000"/>
          <w:spacing w:val="0"/>
          <w:w w:val="100"/>
          <w:position w:val="0"/>
          <w:lang w:eastAsia="zh-CN"/>
        </w:rPr>
      </w:pPr>
      <w:r>
        <w:rPr>
          <w:rFonts w:hint="eastAsia"/>
          <w:b w:val="0"/>
          <w:bCs w:val="0"/>
          <w:i w:val="0"/>
          <w:iCs w:val="0"/>
          <w:smallCaps w:val="0"/>
          <w:strike w:val="0"/>
          <w:color w:val="000000"/>
          <w:spacing w:val="0"/>
          <w:w w:val="100"/>
          <w:position w:val="0"/>
          <w:lang w:val="en-US" w:eastAsia="zh-CN"/>
        </w:rPr>
        <w:t>2</w:t>
      </w:r>
      <w:r>
        <w:rPr>
          <w:rFonts w:hint="eastAsia"/>
          <w:b w:val="0"/>
          <w:bCs w:val="0"/>
          <w:i w:val="0"/>
          <w:iCs w:val="0"/>
          <w:smallCaps w:val="0"/>
          <w:strike w:val="0"/>
          <w:color w:val="000000"/>
          <w:spacing w:val="0"/>
          <w:w w:val="100"/>
          <w:position w:val="0"/>
          <w:lang w:eastAsia="zh-CN"/>
        </w:rPr>
        <w:t>.社会保障和就业（类）行政事业单位离退休（款）</w:t>
      </w:r>
      <w:r>
        <w:rPr>
          <w:rFonts w:hint="eastAsia"/>
          <w:b w:val="0"/>
          <w:bCs w:val="0"/>
          <w:i w:val="0"/>
          <w:iCs w:val="0"/>
          <w:smallCaps w:val="0"/>
          <w:strike w:val="0"/>
          <w:color w:val="000000"/>
          <w:spacing w:val="0"/>
          <w:w w:val="100"/>
          <w:position w:val="0"/>
          <w:lang w:val="en-US" w:eastAsia="zh-CN"/>
        </w:rPr>
        <w:t>行政单位离退休</w:t>
      </w:r>
      <w:r>
        <w:rPr>
          <w:rFonts w:hint="eastAsia"/>
          <w:b w:val="0"/>
          <w:bCs w:val="0"/>
          <w:i w:val="0"/>
          <w:iCs w:val="0"/>
          <w:smallCaps w:val="0"/>
          <w:strike w:val="0"/>
          <w:color w:val="000000"/>
          <w:spacing w:val="0"/>
          <w:w w:val="100"/>
          <w:position w:val="0"/>
          <w:lang w:eastAsia="zh-CN"/>
        </w:rPr>
        <w:t>（项）:202</w:t>
      </w:r>
      <w:r>
        <w:rPr>
          <w:rFonts w:hint="eastAsia"/>
          <w:b w:val="0"/>
          <w:bCs w:val="0"/>
          <w:i w:val="0"/>
          <w:iCs w:val="0"/>
          <w:smallCaps w:val="0"/>
          <w:strike w:val="0"/>
          <w:color w:val="000000"/>
          <w:spacing w:val="0"/>
          <w:w w:val="100"/>
          <w:position w:val="0"/>
          <w:lang w:val="en-US" w:eastAsia="zh-CN"/>
        </w:rPr>
        <w:t>2</w:t>
      </w:r>
      <w:r>
        <w:rPr>
          <w:rFonts w:hint="eastAsia"/>
          <w:b w:val="0"/>
          <w:bCs w:val="0"/>
          <w:i w:val="0"/>
          <w:iCs w:val="0"/>
          <w:smallCaps w:val="0"/>
          <w:strike w:val="0"/>
          <w:color w:val="000000"/>
          <w:spacing w:val="0"/>
          <w:w w:val="100"/>
          <w:position w:val="0"/>
          <w:lang w:eastAsia="zh-CN"/>
        </w:rPr>
        <w:t>年预算数为</w:t>
      </w:r>
      <w:r>
        <w:rPr>
          <w:rFonts w:hint="eastAsia"/>
          <w:b w:val="0"/>
          <w:bCs w:val="0"/>
          <w:i w:val="0"/>
          <w:iCs w:val="0"/>
          <w:smallCaps w:val="0"/>
          <w:strike w:val="0"/>
          <w:color w:val="000000"/>
          <w:spacing w:val="0"/>
          <w:w w:val="100"/>
          <w:position w:val="0"/>
          <w:lang w:val="en-US" w:eastAsia="zh-CN"/>
        </w:rPr>
        <w:t>23.45</w:t>
      </w:r>
      <w:r>
        <w:rPr>
          <w:rFonts w:hint="eastAsia"/>
          <w:b w:val="0"/>
          <w:bCs w:val="0"/>
          <w:i w:val="0"/>
          <w:iCs w:val="0"/>
          <w:smallCaps w:val="0"/>
          <w:strike w:val="0"/>
          <w:color w:val="000000"/>
          <w:spacing w:val="0"/>
          <w:w w:val="100"/>
          <w:position w:val="0"/>
          <w:lang w:eastAsia="zh-CN"/>
        </w:rPr>
        <w:t>万元，主要用于：保障离退休人员经费支出。</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605" w:lineRule="exact"/>
        <w:ind w:left="0" w:right="0" w:firstLine="600" w:firstLineChars="200"/>
        <w:jc w:val="both"/>
        <w:textAlignment w:val="auto"/>
        <w:rPr>
          <w:rFonts w:hint="eastAsia"/>
          <w:b w:val="0"/>
          <w:bCs w:val="0"/>
          <w:i w:val="0"/>
          <w:iCs w:val="0"/>
          <w:smallCaps w:val="0"/>
          <w:strike w:val="0"/>
          <w:color w:val="000000"/>
          <w:spacing w:val="0"/>
          <w:w w:val="100"/>
          <w:position w:val="0"/>
          <w:lang w:eastAsia="zh-CN"/>
        </w:rPr>
      </w:pPr>
      <w:r>
        <w:rPr>
          <w:rFonts w:hint="eastAsia"/>
          <w:b w:val="0"/>
          <w:bCs w:val="0"/>
          <w:i w:val="0"/>
          <w:iCs w:val="0"/>
          <w:smallCaps w:val="0"/>
          <w:strike w:val="0"/>
          <w:color w:val="000000"/>
          <w:spacing w:val="0"/>
          <w:w w:val="100"/>
          <w:position w:val="0"/>
          <w:lang w:val="en-US" w:eastAsia="zh-CN"/>
        </w:rPr>
        <w:t>3</w:t>
      </w:r>
      <w:r>
        <w:rPr>
          <w:rFonts w:hint="eastAsia"/>
          <w:b w:val="0"/>
          <w:bCs w:val="0"/>
          <w:i w:val="0"/>
          <w:iCs w:val="0"/>
          <w:smallCaps w:val="0"/>
          <w:strike w:val="0"/>
          <w:color w:val="000000"/>
          <w:spacing w:val="0"/>
          <w:w w:val="100"/>
          <w:position w:val="0"/>
          <w:lang w:eastAsia="zh-CN"/>
        </w:rPr>
        <w:t>.社会保障和就业（类）行政事业单位离退休（款）机关事业单位基本养老保险缴费支出（项）:202</w:t>
      </w:r>
      <w:r>
        <w:rPr>
          <w:rFonts w:hint="eastAsia"/>
          <w:b w:val="0"/>
          <w:bCs w:val="0"/>
          <w:i w:val="0"/>
          <w:iCs w:val="0"/>
          <w:smallCaps w:val="0"/>
          <w:strike w:val="0"/>
          <w:color w:val="000000"/>
          <w:spacing w:val="0"/>
          <w:w w:val="100"/>
          <w:position w:val="0"/>
          <w:lang w:val="en-US" w:eastAsia="zh-CN"/>
        </w:rPr>
        <w:t>2</w:t>
      </w:r>
      <w:r>
        <w:rPr>
          <w:rFonts w:hint="eastAsia"/>
          <w:b w:val="0"/>
          <w:bCs w:val="0"/>
          <w:i w:val="0"/>
          <w:iCs w:val="0"/>
          <w:smallCaps w:val="0"/>
          <w:strike w:val="0"/>
          <w:color w:val="000000"/>
          <w:spacing w:val="0"/>
          <w:w w:val="100"/>
          <w:position w:val="0"/>
          <w:lang w:eastAsia="zh-CN"/>
        </w:rPr>
        <w:t>年预算数为</w:t>
      </w:r>
      <w:r>
        <w:rPr>
          <w:rFonts w:hint="eastAsia"/>
          <w:b w:val="0"/>
          <w:bCs w:val="0"/>
          <w:i w:val="0"/>
          <w:iCs w:val="0"/>
          <w:smallCaps w:val="0"/>
          <w:strike w:val="0"/>
          <w:color w:val="000000"/>
          <w:spacing w:val="0"/>
          <w:w w:val="100"/>
          <w:position w:val="0"/>
          <w:lang w:val="en-US" w:eastAsia="zh-CN"/>
        </w:rPr>
        <w:t>135.03</w:t>
      </w:r>
      <w:r>
        <w:rPr>
          <w:rFonts w:hint="eastAsia"/>
          <w:b w:val="0"/>
          <w:bCs w:val="0"/>
          <w:i w:val="0"/>
          <w:iCs w:val="0"/>
          <w:smallCaps w:val="0"/>
          <w:strike w:val="0"/>
          <w:color w:val="000000"/>
          <w:spacing w:val="0"/>
          <w:w w:val="100"/>
          <w:position w:val="0"/>
          <w:lang w:eastAsia="zh-CN"/>
        </w:rPr>
        <w:t>万元，主要用于：实施养老保险制度后，部门按规定由单位缴纳的基本养老保险费支出。</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605" w:lineRule="exact"/>
        <w:ind w:left="0" w:right="0" w:firstLine="600" w:firstLineChars="200"/>
        <w:jc w:val="both"/>
        <w:textAlignment w:val="auto"/>
        <w:rPr>
          <w:rFonts w:hint="eastAsia"/>
          <w:b w:val="0"/>
          <w:bCs w:val="0"/>
          <w:i w:val="0"/>
          <w:iCs w:val="0"/>
          <w:smallCaps w:val="0"/>
          <w:strike w:val="0"/>
          <w:color w:val="000000"/>
          <w:spacing w:val="0"/>
          <w:w w:val="100"/>
          <w:position w:val="0"/>
          <w:lang w:eastAsia="zh-CN"/>
        </w:rPr>
      </w:pPr>
      <w:r>
        <w:rPr>
          <w:rFonts w:hint="eastAsia"/>
          <w:b w:val="0"/>
          <w:bCs w:val="0"/>
          <w:i w:val="0"/>
          <w:iCs w:val="0"/>
          <w:smallCaps w:val="0"/>
          <w:strike w:val="0"/>
          <w:color w:val="000000"/>
          <w:spacing w:val="0"/>
          <w:w w:val="100"/>
          <w:position w:val="0"/>
          <w:lang w:val="en-US" w:eastAsia="zh-CN"/>
        </w:rPr>
        <w:t>4</w:t>
      </w:r>
      <w:r>
        <w:rPr>
          <w:rFonts w:hint="eastAsia"/>
          <w:b w:val="0"/>
          <w:bCs w:val="0"/>
          <w:i w:val="0"/>
          <w:iCs w:val="0"/>
          <w:smallCaps w:val="0"/>
          <w:strike w:val="0"/>
          <w:color w:val="000000"/>
          <w:spacing w:val="0"/>
          <w:w w:val="100"/>
          <w:position w:val="0"/>
          <w:lang w:eastAsia="zh-CN"/>
        </w:rPr>
        <w:t>.</w:t>
      </w:r>
      <w:r>
        <w:rPr>
          <w:rFonts w:hint="eastAsia"/>
          <w:b w:val="0"/>
          <w:bCs w:val="0"/>
          <w:i w:val="0"/>
          <w:iCs w:val="0"/>
          <w:smallCaps w:val="0"/>
          <w:strike w:val="0"/>
          <w:color w:val="000000"/>
          <w:spacing w:val="0"/>
          <w:w w:val="100"/>
          <w:position w:val="0"/>
          <w:lang w:val="en-US" w:eastAsia="zh-CN"/>
        </w:rPr>
        <w:t>卫生健康支出</w:t>
      </w:r>
      <w:r>
        <w:rPr>
          <w:rFonts w:hint="eastAsia"/>
          <w:b w:val="0"/>
          <w:bCs w:val="0"/>
          <w:i w:val="0"/>
          <w:iCs w:val="0"/>
          <w:smallCaps w:val="0"/>
          <w:strike w:val="0"/>
          <w:color w:val="000000"/>
          <w:spacing w:val="0"/>
          <w:w w:val="100"/>
          <w:position w:val="0"/>
          <w:lang w:eastAsia="zh-CN"/>
        </w:rPr>
        <w:t>（类）行政事业单位医疗（款）行政单位医疗（项）:202</w:t>
      </w:r>
      <w:r>
        <w:rPr>
          <w:rFonts w:hint="eastAsia"/>
          <w:b w:val="0"/>
          <w:bCs w:val="0"/>
          <w:i w:val="0"/>
          <w:iCs w:val="0"/>
          <w:smallCaps w:val="0"/>
          <w:strike w:val="0"/>
          <w:color w:val="000000"/>
          <w:spacing w:val="0"/>
          <w:w w:val="100"/>
          <w:position w:val="0"/>
          <w:lang w:val="en-US" w:eastAsia="zh-CN"/>
        </w:rPr>
        <w:t>2</w:t>
      </w:r>
      <w:r>
        <w:rPr>
          <w:rFonts w:hint="eastAsia"/>
          <w:b w:val="0"/>
          <w:bCs w:val="0"/>
          <w:i w:val="0"/>
          <w:iCs w:val="0"/>
          <w:smallCaps w:val="0"/>
          <w:strike w:val="0"/>
          <w:color w:val="000000"/>
          <w:spacing w:val="0"/>
          <w:w w:val="100"/>
          <w:position w:val="0"/>
          <w:lang w:eastAsia="zh-CN"/>
        </w:rPr>
        <w:t>年预算数为</w:t>
      </w:r>
      <w:r>
        <w:rPr>
          <w:rFonts w:hint="eastAsia"/>
          <w:b w:val="0"/>
          <w:bCs w:val="0"/>
          <w:i w:val="0"/>
          <w:iCs w:val="0"/>
          <w:smallCaps w:val="0"/>
          <w:strike w:val="0"/>
          <w:color w:val="000000"/>
          <w:spacing w:val="0"/>
          <w:w w:val="100"/>
          <w:position w:val="0"/>
          <w:lang w:val="en-US" w:eastAsia="zh-CN"/>
        </w:rPr>
        <w:t>18.47</w:t>
      </w:r>
      <w:r>
        <w:rPr>
          <w:rFonts w:hint="eastAsia"/>
          <w:b w:val="0"/>
          <w:bCs w:val="0"/>
          <w:i w:val="0"/>
          <w:iCs w:val="0"/>
          <w:smallCaps w:val="0"/>
          <w:strike w:val="0"/>
          <w:color w:val="000000"/>
          <w:spacing w:val="0"/>
          <w:w w:val="100"/>
          <w:position w:val="0"/>
          <w:lang w:eastAsia="zh-CN"/>
        </w:rPr>
        <w:t>万元，主要用于：</w:t>
      </w:r>
      <w:r>
        <w:rPr>
          <w:rFonts w:hint="eastAsia"/>
          <w:b w:val="0"/>
          <w:bCs w:val="0"/>
          <w:i w:val="0"/>
          <w:iCs w:val="0"/>
          <w:smallCaps w:val="0"/>
          <w:strike w:val="0"/>
          <w:color w:val="000000"/>
          <w:spacing w:val="0"/>
          <w:w w:val="100"/>
          <w:position w:val="0"/>
          <w:lang w:val="en-US" w:eastAsia="zh-CN"/>
        </w:rPr>
        <w:t>局机关人员</w:t>
      </w:r>
      <w:r>
        <w:rPr>
          <w:rFonts w:hint="eastAsia"/>
          <w:b w:val="0"/>
          <w:bCs w:val="0"/>
          <w:i w:val="0"/>
          <w:iCs w:val="0"/>
          <w:smallCaps w:val="0"/>
          <w:strike w:val="0"/>
          <w:color w:val="000000"/>
          <w:spacing w:val="0"/>
          <w:w w:val="100"/>
          <w:position w:val="0"/>
          <w:lang w:eastAsia="zh-CN"/>
        </w:rPr>
        <w:t>基本医疗保险缴费支出。</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605" w:lineRule="exact"/>
        <w:ind w:left="0" w:right="0" w:firstLine="600" w:firstLineChars="200"/>
        <w:jc w:val="both"/>
        <w:textAlignment w:val="auto"/>
        <w:rPr>
          <w:rFonts w:hint="eastAsia"/>
          <w:b w:val="0"/>
          <w:bCs w:val="0"/>
          <w:i w:val="0"/>
          <w:iCs w:val="0"/>
          <w:smallCaps w:val="0"/>
          <w:strike w:val="0"/>
          <w:color w:val="000000"/>
          <w:spacing w:val="0"/>
          <w:w w:val="100"/>
          <w:position w:val="0"/>
          <w:lang w:eastAsia="zh-CN"/>
        </w:rPr>
      </w:pPr>
      <w:r>
        <w:rPr>
          <w:rFonts w:hint="eastAsia"/>
          <w:b w:val="0"/>
          <w:bCs w:val="0"/>
          <w:i w:val="0"/>
          <w:iCs w:val="0"/>
          <w:smallCaps w:val="0"/>
          <w:strike w:val="0"/>
          <w:color w:val="000000"/>
          <w:spacing w:val="0"/>
          <w:w w:val="100"/>
          <w:position w:val="0"/>
          <w:lang w:eastAsia="zh-CN"/>
        </w:rPr>
        <w:t>6.</w:t>
      </w:r>
      <w:r>
        <w:rPr>
          <w:rFonts w:hint="eastAsia"/>
          <w:b w:val="0"/>
          <w:bCs w:val="0"/>
          <w:i w:val="0"/>
          <w:iCs w:val="0"/>
          <w:smallCaps w:val="0"/>
          <w:strike w:val="0"/>
          <w:color w:val="000000"/>
          <w:spacing w:val="0"/>
          <w:w w:val="100"/>
          <w:position w:val="0"/>
          <w:lang w:val="en-US" w:eastAsia="zh-CN"/>
        </w:rPr>
        <w:t>卫生健康支出</w:t>
      </w:r>
      <w:r>
        <w:rPr>
          <w:rFonts w:hint="eastAsia"/>
          <w:b w:val="0"/>
          <w:bCs w:val="0"/>
          <w:i w:val="0"/>
          <w:iCs w:val="0"/>
          <w:smallCaps w:val="0"/>
          <w:strike w:val="0"/>
          <w:color w:val="000000"/>
          <w:spacing w:val="0"/>
          <w:w w:val="100"/>
          <w:position w:val="0"/>
          <w:lang w:eastAsia="zh-CN"/>
        </w:rPr>
        <w:t>（类）行政事业单位医疗（款）</w:t>
      </w:r>
      <w:r>
        <w:rPr>
          <w:rFonts w:hint="eastAsia"/>
          <w:b w:val="0"/>
          <w:bCs w:val="0"/>
          <w:i w:val="0"/>
          <w:iCs w:val="0"/>
          <w:smallCaps w:val="0"/>
          <w:strike w:val="0"/>
          <w:color w:val="000000"/>
          <w:spacing w:val="0"/>
          <w:w w:val="100"/>
          <w:position w:val="0"/>
          <w:lang w:val="en-US" w:eastAsia="zh-CN"/>
        </w:rPr>
        <w:t>事业</w:t>
      </w:r>
      <w:r>
        <w:rPr>
          <w:rFonts w:hint="eastAsia"/>
          <w:b w:val="0"/>
          <w:bCs w:val="0"/>
          <w:i w:val="0"/>
          <w:iCs w:val="0"/>
          <w:smallCaps w:val="0"/>
          <w:strike w:val="0"/>
          <w:color w:val="000000"/>
          <w:spacing w:val="0"/>
          <w:w w:val="100"/>
          <w:position w:val="0"/>
          <w:lang w:eastAsia="zh-CN"/>
        </w:rPr>
        <w:t>单位医疗（项）:202</w:t>
      </w:r>
      <w:r>
        <w:rPr>
          <w:rFonts w:hint="eastAsia"/>
          <w:b w:val="0"/>
          <w:bCs w:val="0"/>
          <w:i w:val="0"/>
          <w:iCs w:val="0"/>
          <w:smallCaps w:val="0"/>
          <w:strike w:val="0"/>
          <w:color w:val="000000"/>
          <w:spacing w:val="0"/>
          <w:w w:val="100"/>
          <w:position w:val="0"/>
          <w:lang w:val="en-US" w:eastAsia="zh-CN"/>
        </w:rPr>
        <w:t>2</w:t>
      </w:r>
      <w:r>
        <w:rPr>
          <w:rFonts w:hint="eastAsia"/>
          <w:b w:val="0"/>
          <w:bCs w:val="0"/>
          <w:i w:val="0"/>
          <w:iCs w:val="0"/>
          <w:smallCaps w:val="0"/>
          <w:strike w:val="0"/>
          <w:color w:val="000000"/>
          <w:spacing w:val="0"/>
          <w:w w:val="100"/>
          <w:position w:val="0"/>
          <w:lang w:eastAsia="zh-CN"/>
        </w:rPr>
        <w:t>年预算数为</w:t>
      </w:r>
      <w:r>
        <w:rPr>
          <w:rFonts w:hint="eastAsia"/>
          <w:b w:val="0"/>
          <w:bCs w:val="0"/>
          <w:i w:val="0"/>
          <w:iCs w:val="0"/>
          <w:smallCaps w:val="0"/>
          <w:strike w:val="0"/>
          <w:color w:val="000000"/>
          <w:spacing w:val="0"/>
          <w:w w:val="100"/>
          <w:position w:val="0"/>
          <w:lang w:val="en-US" w:eastAsia="zh-CN"/>
        </w:rPr>
        <w:t>35.61</w:t>
      </w:r>
      <w:r>
        <w:rPr>
          <w:rFonts w:hint="eastAsia"/>
          <w:b w:val="0"/>
          <w:bCs w:val="0"/>
          <w:i w:val="0"/>
          <w:iCs w:val="0"/>
          <w:smallCaps w:val="0"/>
          <w:strike w:val="0"/>
          <w:color w:val="000000"/>
          <w:spacing w:val="0"/>
          <w:w w:val="100"/>
          <w:position w:val="0"/>
          <w:lang w:eastAsia="zh-CN"/>
        </w:rPr>
        <w:t>万元，主要用于：</w:t>
      </w:r>
      <w:r>
        <w:rPr>
          <w:rFonts w:hint="eastAsia"/>
          <w:b w:val="0"/>
          <w:bCs w:val="0"/>
          <w:i w:val="0"/>
          <w:iCs w:val="0"/>
          <w:smallCaps w:val="0"/>
          <w:strike w:val="0"/>
          <w:color w:val="000000"/>
          <w:spacing w:val="0"/>
          <w:w w:val="100"/>
          <w:position w:val="0"/>
          <w:lang w:val="en-US" w:eastAsia="zh-CN"/>
        </w:rPr>
        <w:t>下沉人员</w:t>
      </w:r>
      <w:r>
        <w:rPr>
          <w:rFonts w:hint="eastAsia"/>
          <w:b w:val="0"/>
          <w:bCs w:val="0"/>
          <w:i w:val="0"/>
          <w:iCs w:val="0"/>
          <w:smallCaps w:val="0"/>
          <w:strike w:val="0"/>
          <w:color w:val="000000"/>
          <w:spacing w:val="0"/>
          <w:w w:val="100"/>
          <w:position w:val="0"/>
          <w:lang w:eastAsia="zh-CN"/>
        </w:rPr>
        <w:t>基本医疗保险缴费支出。</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605" w:lineRule="exact"/>
        <w:ind w:left="0" w:right="0" w:firstLine="600" w:firstLineChars="200"/>
        <w:jc w:val="both"/>
        <w:textAlignment w:val="auto"/>
        <w:rPr>
          <w:rFonts w:hint="eastAsia"/>
          <w:b w:val="0"/>
          <w:bCs w:val="0"/>
          <w:i w:val="0"/>
          <w:iCs w:val="0"/>
          <w:smallCaps w:val="0"/>
          <w:strike w:val="0"/>
          <w:color w:val="000000"/>
          <w:spacing w:val="0"/>
          <w:w w:val="100"/>
          <w:position w:val="0"/>
          <w:lang w:eastAsia="zh-CN"/>
        </w:rPr>
      </w:pPr>
      <w:r>
        <w:rPr>
          <w:rFonts w:hint="eastAsia"/>
          <w:b w:val="0"/>
          <w:bCs w:val="0"/>
          <w:i w:val="0"/>
          <w:iCs w:val="0"/>
          <w:smallCaps w:val="0"/>
          <w:strike w:val="0"/>
          <w:color w:val="000000"/>
          <w:spacing w:val="0"/>
          <w:w w:val="100"/>
          <w:position w:val="0"/>
          <w:lang w:val="en-US" w:eastAsia="zh-CN"/>
        </w:rPr>
        <w:t>7.交通运输支出</w:t>
      </w:r>
      <w:r>
        <w:rPr>
          <w:rFonts w:hint="eastAsia"/>
          <w:b w:val="0"/>
          <w:bCs w:val="0"/>
          <w:i w:val="0"/>
          <w:iCs w:val="0"/>
          <w:smallCaps w:val="0"/>
          <w:strike w:val="0"/>
          <w:color w:val="000000"/>
          <w:spacing w:val="0"/>
          <w:w w:val="100"/>
          <w:position w:val="0"/>
          <w:lang w:eastAsia="zh-CN"/>
        </w:rPr>
        <w:t>（类）</w:t>
      </w:r>
      <w:r>
        <w:rPr>
          <w:rFonts w:hint="eastAsia"/>
          <w:b w:val="0"/>
          <w:bCs w:val="0"/>
          <w:i w:val="0"/>
          <w:iCs w:val="0"/>
          <w:smallCaps w:val="0"/>
          <w:strike w:val="0"/>
          <w:color w:val="000000"/>
          <w:spacing w:val="0"/>
          <w:w w:val="100"/>
          <w:position w:val="0"/>
          <w:lang w:val="en-US" w:eastAsia="zh-CN"/>
        </w:rPr>
        <w:t>公路水路运输</w:t>
      </w:r>
      <w:r>
        <w:rPr>
          <w:rFonts w:hint="eastAsia"/>
          <w:b w:val="0"/>
          <w:bCs w:val="0"/>
          <w:i w:val="0"/>
          <w:iCs w:val="0"/>
          <w:smallCaps w:val="0"/>
          <w:strike w:val="0"/>
          <w:color w:val="000000"/>
          <w:spacing w:val="0"/>
          <w:w w:val="100"/>
          <w:position w:val="0"/>
          <w:lang w:eastAsia="zh-CN"/>
        </w:rPr>
        <w:t>（款）</w:t>
      </w:r>
      <w:r>
        <w:rPr>
          <w:rFonts w:hint="eastAsia"/>
          <w:b w:val="0"/>
          <w:bCs w:val="0"/>
          <w:i w:val="0"/>
          <w:iCs w:val="0"/>
          <w:smallCaps w:val="0"/>
          <w:strike w:val="0"/>
          <w:color w:val="000000"/>
          <w:spacing w:val="0"/>
          <w:w w:val="100"/>
          <w:position w:val="0"/>
          <w:lang w:val="en-US" w:eastAsia="zh-CN"/>
        </w:rPr>
        <w:t>行政运行</w:t>
      </w:r>
      <w:r>
        <w:rPr>
          <w:rFonts w:hint="eastAsia"/>
          <w:b w:val="0"/>
          <w:bCs w:val="0"/>
          <w:i w:val="0"/>
          <w:iCs w:val="0"/>
          <w:smallCaps w:val="0"/>
          <w:strike w:val="0"/>
          <w:color w:val="000000"/>
          <w:spacing w:val="0"/>
          <w:w w:val="100"/>
          <w:position w:val="0"/>
          <w:lang w:eastAsia="zh-CN"/>
        </w:rPr>
        <w:t>（项）:202</w:t>
      </w:r>
      <w:r>
        <w:rPr>
          <w:rFonts w:hint="eastAsia"/>
          <w:b w:val="0"/>
          <w:bCs w:val="0"/>
          <w:i w:val="0"/>
          <w:iCs w:val="0"/>
          <w:smallCaps w:val="0"/>
          <w:strike w:val="0"/>
          <w:color w:val="000000"/>
          <w:spacing w:val="0"/>
          <w:w w:val="100"/>
          <w:position w:val="0"/>
          <w:lang w:val="en-US" w:eastAsia="zh-CN"/>
        </w:rPr>
        <w:t>2</w:t>
      </w:r>
      <w:r>
        <w:rPr>
          <w:rFonts w:hint="eastAsia"/>
          <w:b w:val="0"/>
          <w:bCs w:val="0"/>
          <w:i w:val="0"/>
          <w:iCs w:val="0"/>
          <w:smallCaps w:val="0"/>
          <w:strike w:val="0"/>
          <w:color w:val="000000"/>
          <w:spacing w:val="0"/>
          <w:w w:val="100"/>
          <w:position w:val="0"/>
          <w:lang w:eastAsia="zh-CN"/>
        </w:rPr>
        <w:t>年预算数为</w:t>
      </w:r>
      <w:r>
        <w:rPr>
          <w:rFonts w:hint="eastAsia"/>
          <w:b w:val="0"/>
          <w:bCs w:val="0"/>
          <w:i w:val="0"/>
          <w:iCs w:val="0"/>
          <w:smallCaps w:val="0"/>
          <w:strike w:val="0"/>
          <w:color w:val="000000"/>
          <w:spacing w:val="0"/>
          <w:w w:val="100"/>
          <w:position w:val="0"/>
          <w:lang w:val="en-US" w:eastAsia="zh-CN"/>
        </w:rPr>
        <w:t>169.27</w:t>
      </w:r>
      <w:r>
        <w:rPr>
          <w:rFonts w:hint="eastAsia"/>
          <w:b w:val="0"/>
          <w:bCs w:val="0"/>
          <w:i w:val="0"/>
          <w:iCs w:val="0"/>
          <w:smallCaps w:val="0"/>
          <w:strike w:val="0"/>
          <w:color w:val="000000"/>
          <w:spacing w:val="0"/>
          <w:w w:val="100"/>
          <w:position w:val="0"/>
          <w:lang w:eastAsia="zh-CN"/>
        </w:rPr>
        <w:t>万元，主要用于：</w:t>
      </w:r>
      <w:r>
        <w:rPr>
          <w:rFonts w:hint="eastAsia"/>
          <w:b w:val="0"/>
          <w:bCs w:val="0"/>
          <w:i w:val="0"/>
          <w:iCs w:val="0"/>
          <w:smallCaps w:val="0"/>
          <w:strike w:val="0"/>
          <w:color w:val="000000"/>
          <w:spacing w:val="0"/>
          <w:w w:val="100"/>
          <w:position w:val="0"/>
          <w:lang w:val="en-US" w:eastAsia="zh-CN"/>
        </w:rPr>
        <w:t>局机关</w:t>
      </w:r>
      <w:r>
        <w:rPr>
          <w:rFonts w:hint="eastAsia"/>
          <w:b w:val="0"/>
          <w:bCs w:val="0"/>
          <w:i w:val="0"/>
          <w:iCs w:val="0"/>
          <w:smallCaps w:val="0"/>
          <w:strike w:val="0"/>
          <w:color w:val="000000"/>
          <w:spacing w:val="0"/>
          <w:w w:val="100"/>
          <w:position w:val="0"/>
          <w:lang w:eastAsia="zh-CN"/>
        </w:rPr>
        <w:t>正常运转的基本支出，包括基本工资、津贴补贴等人员经费以及办公费、印刷费、水电费等日常公用经费。</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605" w:lineRule="exact"/>
        <w:ind w:left="0" w:right="0" w:firstLine="600" w:firstLineChars="200"/>
        <w:jc w:val="both"/>
        <w:textAlignment w:val="auto"/>
        <w:rPr>
          <w:rFonts w:hint="eastAsia"/>
          <w:b w:val="0"/>
          <w:bCs w:val="0"/>
          <w:i w:val="0"/>
          <w:iCs w:val="0"/>
          <w:smallCaps w:val="0"/>
          <w:strike w:val="0"/>
          <w:color w:val="000000"/>
          <w:spacing w:val="0"/>
          <w:w w:val="100"/>
          <w:position w:val="0"/>
          <w:lang w:eastAsia="zh-CN"/>
        </w:rPr>
      </w:pPr>
      <w:r>
        <w:rPr>
          <w:rFonts w:hint="eastAsia"/>
          <w:b w:val="0"/>
          <w:bCs w:val="0"/>
          <w:i w:val="0"/>
          <w:iCs w:val="0"/>
          <w:smallCaps w:val="0"/>
          <w:strike w:val="0"/>
          <w:color w:val="000000"/>
          <w:spacing w:val="0"/>
          <w:w w:val="100"/>
          <w:position w:val="0"/>
          <w:lang w:val="en-US" w:eastAsia="zh-CN"/>
        </w:rPr>
        <w:t>8.交通运输支出</w:t>
      </w:r>
      <w:r>
        <w:rPr>
          <w:rFonts w:hint="eastAsia"/>
          <w:b w:val="0"/>
          <w:bCs w:val="0"/>
          <w:i w:val="0"/>
          <w:iCs w:val="0"/>
          <w:smallCaps w:val="0"/>
          <w:strike w:val="0"/>
          <w:color w:val="000000"/>
          <w:spacing w:val="0"/>
          <w:w w:val="100"/>
          <w:position w:val="0"/>
          <w:lang w:eastAsia="zh-CN"/>
        </w:rPr>
        <w:t>（类）</w:t>
      </w:r>
      <w:r>
        <w:rPr>
          <w:rFonts w:hint="eastAsia"/>
          <w:b w:val="0"/>
          <w:bCs w:val="0"/>
          <w:i w:val="0"/>
          <w:iCs w:val="0"/>
          <w:smallCaps w:val="0"/>
          <w:strike w:val="0"/>
          <w:color w:val="000000"/>
          <w:spacing w:val="0"/>
          <w:w w:val="100"/>
          <w:position w:val="0"/>
          <w:lang w:val="en-US" w:eastAsia="zh-CN"/>
        </w:rPr>
        <w:t>公路水路运输</w:t>
      </w:r>
      <w:r>
        <w:rPr>
          <w:rFonts w:hint="eastAsia"/>
          <w:b w:val="0"/>
          <w:bCs w:val="0"/>
          <w:i w:val="0"/>
          <w:iCs w:val="0"/>
          <w:smallCaps w:val="0"/>
          <w:strike w:val="0"/>
          <w:color w:val="000000"/>
          <w:spacing w:val="0"/>
          <w:w w:val="100"/>
          <w:position w:val="0"/>
          <w:lang w:eastAsia="zh-CN"/>
        </w:rPr>
        <w:t>（款）</w:t>
      </w:r>
      <w:r>
        <w:rPr>
          <w:rFonts w:hint="eastAsia"/>
          <w:b w:val="0"/>
          <w:bCs w:val="0"/>
          <w:i w:val="0"/>
          <w:iCs w:val="0"/>
          <w:smallCaps w:val="0"/>
          <w:strike w:val="0"/>
          <w:color w:val="000000"/>
          <w:spacing w:val="0"/>
          <w:w w:val="100"/>
          <w:position w:val="0"/>
          <w:lang w:val="en-US" w:eastAsia="zh-CN"/>
        </w:rPr>
        <w:t>公路养护</w:t>
      </w:r>
      <w:r>
        <w:rPr>
          <w:rFonts w:hint="eastAsia"/>
          <w:b w:val="0"/>
          <w:bCs w:val="0"/>
          <w:i w:val="0"/>
          <w:iCs w:val="0"/>
          <w:smallCaps w:val="0"/>
          <w:strike w:val="0"/>
          <w:color w:val="000000"/>
          <w:spacing w:val="0"/>
          <w:w w:val="100"/>
          <w:position w:val="0"/>
          <w:lang w:eastAsia="zh-CN"/>
        </w:rPr>
        <w:t>（项）:202</w:t>
      </w:r>
      <w:r>
        <w:rPr>
          <w:rFonts w:hint="eastAsia"/>
          <w:b w:val="0"/>
          <w:bCs w:val="0"/>
          <w:i w:val="0"/>
          <w:iCs w:val="0"/>
          <w:smallCaps w:val="0"/>
          <w:strike w:val="0"/>
          <w:color w:val="000000"/>
          <w:spacing w:val="0"/>
          <w:w w:val="100"/>
          <w:position w:val="0"/>
          <w:lang w:val="en-US" w:eastAsia="zh-CN"/>
        </w:rPr>
        <w:t>2</w:t>
      </w:r>
      <w:r>
        <w:rPr>
          <w:rFonts w:hint="eastAsia"/>
          <w:b w:val="0"/>
          <w:bCs w:val="0"/>
          <w:i w:val="0"/>
          <w:iCs w:val="0"/>
          <w:smallCaps w:val="0"/>
          <w:strike w:val="0"/>
          <w:color w:val="000000"/>
          <w:spacing w:val="0"/>
          <w:w w:val="100"/>
          <w:position w:val="0"/>
          <w:lang w:eastAsia="zh-CN"/>
        </w:rPr>
        <w:t>年预算数为</w:t>
      </w:r>
      <w:r>
        <w:rPr>
          <w:rFonts w:hint="eastAsia"/>
          <w:b w:val="0"/>
          <w:bCs w:val="0"/>
          <w:i w:val="0"/>
          <w:iCs w:val="0"/>
          <w:smallCaps w:val="0"/>
          <w:strike w:val="0"/>
          <w:color w:val="000000"/>
          <w:spacing w:val="0"/>
          <w:w w:val="100"/>
          <w:position w:val="0"/>
          <w:lang w:val="en-US" w:eastAsia="zh-CN"/>
        </w:rPr>
        <w:t>1087.1</w:t>
      </w:r>
      <w:r>
        <w:rPr>
          <w:rFonts w:hint="eastAsia"/>
          <w:b w:val="0"/>
          <w:bCs w:val="0"/>
          <w:i w:val="0"/>
          <w:iCs w:val="0"/>
          <w:smallCaps w:val="0"/>
          <w:strike w:val="0"/>
          <w:color w:val="000000"/>
          <w:spacing w:val="0"/>
          <w:w w:val="100"/>
          <w:position w:val="0"/>
          <w:lang w:eastAsia="zh-CN"/>
        </w:rPr>
        <w:t>万元，主要用于：</w:t>
      </w:r>
      <w:r>
        <w:rPr>
          <w:rFonts w:hint="eastAsia"/>
          <w:b w:val="0"/>
          <w:bCs w:val="0"/>
          <w:i w:val="0"/>
          <w:iCs w:val="0"/>
          <w:smallCaps w:val="0"/>
          <w:strike w:val="0"/>
          <w:color w:val="000000"/>
          <w:spacing w:val="0"/>
          <w:w w:val="100"/>
          <w:position w:val="0"/>
          <w:lang w:val="en-US" w:eastAsia="zh-CN"/>
        </w:rPr>
        <w:t>下沉人员</w:t>
      </w:r>
      <w:r>
        <w:rPr>
          <w:rFonts w:hint="eastAsia"/>
          <w:b w:val="0"/>
          <w:bCs w:val="0"/>
          <w:i w:val="0"/>
          <w:iCs w:val="0"/>
          <w:smallCaps w:val="0"/>
          <w:strike w:val="0"/>
          <w:color w:val="000000"/>
          <w:spacing w:val="0"/>
          <w:w w:val="100"/>
          <w:position w:val="0"/>
          <w:lang w:eastAsia="zh-CN"/>
        </w:rPr>
        <w:t>正常运转的基本支出，包括基本工资、津贴补贴等人员经费。</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605" w:lineRule="exact"/>
        <w:ind w:left="0" w:right="0" w:firstLine="600" w:firstLineChars="200"/>
        <w:jc w:val="both"/>
        <w:textAlignment w:val="auto"/>
        <w:rPr>
          <w:rFonts w:hint="eastAsia"/>
          <w:b w:val="0"/>
          <w:bCs w:val="0"/>
          <w:i w:val="0"/>
          <w:iCs w:val="0"/>
          <w:smallCaps w:val="0"/>
          <w:strike w:val="0"/>
          <w:color w:val="000000"/>
          <w:spacing w:val="0"/>
          <w:w w:val="100"/>
          <w:position w:val="0"/>
          <w:lang w:eastAsia="zh-CN"/>
        </w:rPr>
      </w:pPr>
      <w:r>
        <w:rPr>
          <w:rFonts w:hint="eastAsia"/>
          <w:b w:val="0"/>
          <w:bCs w:val="0"/>
          <w:i w:val="0"/>
          <w:iCs w:val="0"/>
          <w:smallCaps w:val="0"/>
          <w:strike w:val="0"/>
          <w:color w:val="000000"/>
          <w:spacing w:val="0"/>
          <w:w w:val="100"/>
          <w:position w:val="0"/>
          <w:lang w:val="en-US" w:eastAsia="zh-CN"/>
        </w:rPr>
        <w:t>9</w:t>
      </w:r>
      <w:r>
        <w:rPr>
          <w:rFonts w:hint="eastAsia"/>
          <w:b w:val="0"/>
          <w:bCs w:val="0"/>
          <w:i w:val="0"/>
          <w:iCs w:val="0"/>
          <w:smallCaps w:val="0"/>
          <w:strike w:val="0"/>
          <w:color w:val="000000"/>
          <w:spacing w:val="0"/>
          <w:w w:val="100"/>
          <w:position w:val="0"/>
          <w:lang w:eastAsia="zh-CN"/>
        </w:rPr>
        <w:t>.住房保障（类）住房改革支出（款）住房公积金（项）:202</w:t>
      </w:r>
      <w:r>
        <w:rPr>
          <w:rFonts w:hint="eastAsia"/>
          <w:b w:val="0"/>
          <w:bCs w:val="0"/>
          <w:i w:val="0"/>
          <w:iCs w:val="0"/>
          <w:smallCaps w:val="0"/>
          <w:strike w:val="0"/>
          <w:color w:val="000000"/>
          <w:spacing w:val="0"/>
          <w:w w:val="100"/>
          <w:position w:val="0"/>
          <w:lang w:val="en-US" w:eastAsia="zh-CN"/>
        </w:rPr>
        <w:t>1</w:t>
      </w:r>
      <w:r>
        <w:rPr>
          <w:rFonts w:hint="eastAsia"/>
          <w:b w:val="0"/>
          <w:bCs w:val="0"/>
          <w:i w:val="0"/>
          <w:iCs w:val="0"/>
          <w:smallCaps w:val="0"/>
          <w:strike w:val="0"/>
          <w:color w:val="000000"/>
          <w:spacing w:val="0"/>
          <w:w w:val="100"/>
          <w:position w:val="0"/>
          <w:lang w:eastAsia="zh-CN"/>
        </w:rPr>
        <w:t>年预算数为</w:t>
      </w:r>
      <w:r>
        <w:rPr>
          <w:rFonts w:hint="eastAsia"/>
          <w:b w:val="0"/>
          <w:bCs w:val="0"/>
          <w:i w:val="0"/>
          <w:iCs w:val="0"/>
          <w:smallCaps w:val="0"/>
          <w:strike w:val="0"/>
          <w:color w:val="000000"/>
          <w:spacing w:val="0"/>
          <w:w w:val="100"/>
          <w:position w:val="0"/>
          <w:lang w:val="en-US" w:eastAsia="zh-CN"/>
        </w:rPr>
        <w:t>155.09</w:t>
      </w:r>
      <w:r>
        <w:rPr>
          <w:rFonts w:hint="eastAsia"/>
          <w:b w:val="0"/>
          <w:bCs w:val="0"/>
          <w:i w:val="0"/>
          <w:iCs w:val="0"/>
          <w:smallCaps w:val="0"/>
          <w:strike w:val="0"/>
          <w:color w:val="000000"/>
          <w:spacing w:val="0"/>
          <w:w w:val="100"/>
          <w:position w:val="0"/>
          <w:lang w:eastAsia="zh-CN"/>
        </w:rPr>
        <w:t>万元，主要用于：部门按人力资源和社会保障部、财政部规定的基本工资和津贴补贴以及规定比例为职工缴纳的住房公积金支出。</w:t>
      </w:r>
    </w:p>
    <w:p>
      <w:pPr>
        <w:pStyle w:val="11"/>
        <w:keepNext w:val="0"/>
        <w:keepLines w:val="0"/>
        <w:widowControl w:val="0"/>
        <w:shd w:val="clear" w:color="auto" w:fill="auto"/>
        <w:tabs>
          <w:tab w:val="left" w:pos="1808"/>
        </w:tabs>
        <w:bidi w:val="0"/>
        <w:spacing w:before="0" w:after="0" w:line="605" w:lineRule="exact"/>
        <w:ind w:left="1160" w:right="0" w:firstLine="0"/>
        <w:jc w:val="left"/>
      </w:pPr>
      <w:r>
        <w:rPr>
          <w:b/>
          <w:bCs/>
          <w:color w:val="000000"/>
          <w:spacing w:val="0"/>
          <w:w w:val="100"/>
          <w:position w:val="0"/>
        </w:rPr>
        <w:t>四</w:t>
      </w:r>
      <w:bookmarkEnd w:id="21"/>
      <w:r>
        <w:rPr>
          <w:b/>
          <w:bCs/>
          <w:color w:val="000000"/>
          <w:spacing w:val="0"/>
          <w:w w:val="100"/>
          <w:position w:val="0"/>
        </w:rPr>
        <w:t>、</w:t>
      </w:r>
      <w:r>
        <w:rPr>
          <w:b/>
          <w:bCs/>
          <w:color w:val="000000"/>
          <w:spacing w:val="0"/>
          <w:w w:val="100"/>
          <w:position w:val="0"/>
        </w:rPr>
        <w:tab/>
      </w:r>
      <w:r>
        <w:rPr>
          <w:b/>
          <w:bCs/>
          <w:color w:val="000000"/>
          <w:spacing w:val="0"/>
          <w:w w:val="100"/>
          <w:position w:val="0"/>
        </w:rPr>
        <w:t>一般公共预算基本支出情况说明</w:t>
      </w:r>
    </w:p>
    <w:p>
      <w:pPr>
        <w:pStyle w:val="11"/>
        <w:keepNext w:val="0"/>
        <w:keepLines w:val="0"/>
        <w:widowControl w:val="0"/>
        <w:shd w:val="clear" w:color="auto" w:fill="auto"/>
        <w:bidi w:val="0"/>
        <w:spacing w:before="0" w:after="0" w:line="610" w:lineRule="exact"/>
        <w:ind w:left="520" w:right="0" w:firstLine="640"/>
        <w:jc w:val="left"/>
      </w:pPr>
      <w:r>
        <w:rPr>
          <w:rFonts w:hint="eastAsia"/>
          <w:color w:val="000000"/>
          <w:spacing w:val="0"/>
          <w:w w:val="100"/>
          <w:position w:val="0"/>
          <w:lang w:eastAsia="zh-CN"/>
        </w:rPr>
        <w:t>夹江县交通运输局</w:t>
      </w:r>
      <w:r>
        <w:rPr>
          <w:color w:val="000000"/>
          <w:spacing w:val="0"/>
          <w:w w:val="100"/>
          <w:position w:val="0"/>
        </w:rPr>
        <w:t>2022年一般公共预算基本支出</w:t>
      </w:r>
      <w:r>
        <w:rPr>
          <w:rFonts w:hint="eastAsia"/>
          <w:color w:val="000000"/>
          <w:spacing w:val="0"/>
          <w:w w:val="100"/>
          <w:position w:val="0"/>
          <w:lang w:val="en-US" w:eastAsia="zh-CN"/>
        </w:rPr>
        <w:t>3507.69</w:t>
      </w:r>
      <w:r>
        <w:rPr>
          <w:color w:val="000000"/>
          <w:spacing w:val="0"/>
          <w:w w:val="100"/>
          <w:position w:val="0"/>
        </w:rPr>
        <w:t>万元，其中：</w:t>
      </w:r>
    </w:p>
    <w:p>
      <w:pPr>
        <w:pStyle w:val="11"/>
        <w:keepNext w:val="0"/>
        <w:keepLines w:val="0"/>
        <w:widowControl w:val="0"/>
        <w:shd w:val="clear" w:color="auto" w:fill="auto"/>
        <w:bidi w:val="0"/>
        <w:spacing w:before="0" w:after="0" w:line="610" w:lineRule="exact"/>
        <w:ind w:left="520" w:right="0" w:firstLine="640"/>
        <w:jc w:val="left"/>
      </w:pPr>
      <w:r>
        <w:rPr>
          <w:color w:val="000000"/>
          <w:spacing w:val="0"/>
          <w:w w:val="100"/>
          <w:position w:val="0"/>
        </w:rPr>
        <w:t>人员经费</w:t>
      </w:r>
      <w:r>
        <w:rPr>
          <w:rFonts w:hint="eastAsia"/>
          <w:color w:val="000000"/>
          <w:spacing w:val="0"/>
          <w:w w:val="100"/>
          <w:position w:val="0"/>
          <w:lang w:val="en-US" w:eastAsia="zh-CN"/>
        </w:rPr>
        <w:t>1279.54</w:t>
      </w:r>
      <w:r>
        <w:rPr>
          <w:color w:val="000000"/>
          <w:spacing w:val="0"/>
          <w:w w:val="100"/>
          <w:position w:val="0"/>
        </w:rPr>
        <w:t>万元，主要包括：：基本工资、津贴补贴、机关事业单位基本养老保险缴费、职工基本医疗保险缴费、住房公积金、离休费等支出。</w:t>
      </w:r>
    </w:p>
    <w:p>
      <w:pPr>
        <w:pStyle w:val="11"/>
        <w:keepNext w:val="0"/>
        <w:keepLines w:val="0"/>
        <w:widowControl w:val="0"/>
        <w:shd w:val="clear" w:color="auto" w:fill="auto"/>
        <w:bidi w:val="0"/>
        <w:spacing w:before="0" w:after="0" w:line="605" w:lineRule="exact"/>
        <w:ind w:left="520" w:right="0" w:firstLine="640"/>
        <w:jc w:val="left"/>
      </w:pPr>
      <w:r>
        <w:rPr>
          <w:color w:val="000000"/>
          <w:spacing w:val="0"/>
          <w:w w:val="100"/>
          <w:position w:val="0"/>
        </w:rPr>
        <w:t>公用经费</w:t>
      </w:r>
      <w:r>
        <w:rPr>
          <w:rFonts w:hint="eastAsia"/>
          <w:color w:val="000000"/>
          <w:spacing w:val="0"/>
          <w:w w:val="100"/>
          <w:position w:val="0"/>
          <w:lang w:val="en-US" w:eastAsia="zh-CN"/>
        </w:rPr>
        <w:t>271.28</w:t>
      </w:r>
      <w:r>
        <w:rPr>
          <w:color w:val="000000"/>
          <w:spacing w:val="0"/>
          <w:w w:val="100"/>
          <w:position w:val="0"/>
        </w:rPr>
        <w:t>万元，主要包括：：办公费、电费、物业管理费、差旅费、维修</w:t>
      </w:r>
      <w:r>
        <w:rPr>
          <w:color w:val="000000"/>
          <w:spacing w:val="0"/>
          <w:w w:val="100"/>
          <w:position w:val="0"/>
          <w:lang w:val="zh-CN" w:eastAsia="zh-CN" w:bidi="zh-CN"/>
        </w:rPr>
        <w:t>（护）</w:t>
      </w:r>
      <w:r>
        <w:rPr>
          <w:color w:val="000000"/>
          <w:spacing w:val="0"/>
          <w:w w:val="100"/>
          <w:position w:val="0"/>
        </w:rPr>
        <w:t>费、会议费、公务用车运行维护费等支出。</w:t>
      </w:r>
    </w:p>
    <w:p>
      <w:pPr>
        <w:pStyle w:val="11"/>
        <w:keepNext w:val="0"/>
        <w:keepLines w:val="0"/>
        <w:widowControl w:val="0"/>
        <w:shd w:val="clear" w:color="auto" w:fill="auto"/>
        <w:tabs>
          <w:tab w:val="left" w:pos="1808"/>
        </w:tabs>
        <w:bidi w:val="0"/>
        <w:spacing w:before="0" w:after="0" w:line="605" w:lineRule="exact"/>
        <w:ind w:left="1160" w:right="0" w:firstLine="0"/>
        <w:jc w:val="both"/>
      </w:pPr>
      <w:bookmarkStart w:id="22" w:name="bookmark78"/>
      <w:r>
        <w:rPr>
          <w:b/>
          <w:bCs/>
          <w:color w:val="000000"/>
          <w:spacing w:val="0"/>
          <w:w w:val="100"/>
          <w:position w:val="0"/>
        </w:rPr>
        <w:t>五</w:t>
      </w:r>
      <w:bookmarkEnd w:id="22"/>
      <w:r>
        <w:rPr>
          <w:b/>
          <w:bCs/>
          <w:color w:val="000000"/>
          <w:spacing w:val="0"/>
          <w:w w:val="100"/>
          <w:position w:val="0"/>
        </w:rPr>
        <w:t>、</w:t>
      </w:r>
      <w:r>
        <w:rPr>
          <w:b/>
          <w:bCs/>
          <w:color w:val="000000"/>
          <w:spacing w:val="0"/>
          <w:w w:val="100"/>
          <w:position w:val="0"/>
        </w:rPr>
        <w:tab/>
      </w:r>
      <w:r>
        <w:rPr>
          <w:rFonts w:hint="default"/>
          <w:b/>
          <w:bCs/>
          <w:color w:val="000000"/>
          <w:spacing w:val="0"/>
          <w:w w:val="100"/>
          <w:position w:val="0"/>
          <w:lang w:val="en-US" w:eastAsia="zh-CN"/>
        </w:rPr>
        <w:t>“</w:t>
      </w:r>
      <w:r>
        <w:rPr>
          <w:b/>
          <w:bCs/>
          <w:color w:val="000000"/>
          <w:spacing w:val="0"/>
          <w:w w:val="100"/>
          <w:position w:val="0"/>
        </w:rPr>
        <w:t>三公</w:t>
      </w:r>
      <w:r>
        <w:rPr>
          <w:rFonts w:hint="default"/>
          <w:b/>
          <w:bCs/>
          <w:color w:val="000000"/>
          <w:spacing w:val="0"/>
          <w:w w:val="100"/>
          <w:position w:val="0"/>
          <w:lang w:val="en-US" w:eastAsia="zh-CN"/>
        </w:rPr>
        <w:t>”</w:t>
      </w:r>
      <w:r>
        <w:rPr>
          <w:b/>
          <w:bCs/>
          <w:color w:val="000000"/>
          <w:spacing w:val="0"/>
          <w:w w:val="100"/>
          <w:position w:val="0"/>
        </w:rPr>
        <w:t>经费财政拨款预算安排情况说明</w:t>
      </w:r>
    </w:p>
    <w:p>
      <w:pPr>
        <w:pStyle w:val="11"/>
        <w:keepNext w:val="0"/>
        <w:keepLines w:val="0"/>
        <w:widowControl w:val="0"/>
        <w:shd w:val="clear" w:color="auto" w:fill="auto"/>
        <w:bidi w:val="0"/>
        <w:spacing w:before="0" w:after="0" w:line="605" w:lineRule="exact"/>
        <w:ind w:left="520" w:right="0" w:firstLine="640"/>
        <w:jc w:val="both"/>
      </w:pPr>
      <w:r>
        <w:rPr>
          <w:rFonts w:hint="eastAsia"/>
          <w:color w:val="000000"/>
          <w:spacing w:val="0"/>
          <w:w w:val="100"/>
          <w:position w:val="0"/>
          <w:lang w:eastAsia="zh-CN"/>
        </w:rPr>
        <w:t>交通局</w:t>
      </w:r>
      <w:r>
        <w:rPr>
          <w:color w:val="000000"/>
          <w:spacing w:val="0"/>
          <w:w w:val="100"/>
          <w:position w:val="0"/>
        </w:rPr>
        <w:t>2022年</w:t>
      </w:r>
      <w:r>
        <w:rPr>
          <w:rFonts w:hint="eastAsia"/>
          <w:color w:val="000000"/>
          <w:spacing w:val="0"/>
          <w:w w:val="100"/>
          <w:position w:val="0"/>
          <w:lang w:eastAsia="zh-CN"/>
        </w:rPr>
        <w:t>“</w:t>
      </w:r>
      <w:r>
        <w:rPr>
          <w:color w:val="000000"/>
          <w:spacing w:val="0"/>
          <w:w w:val="100"/>
          <w:position w:val="0"/>
        </w:rPr>
        <w:t>三公</w:t>
      </w:r>
      <w:r>
        <w:rPr>
          <w:rFonts w:hint="default"/>
          <w:color w:val="000000"/>
          <w:spacing w:val="0"/>
          <w:w w:val="100"/>
          <w:position w:val="0"/>
          <w:lang w:val="en-US" w:eastAsia="zh-CN"/>
        </w:rPr>
        <w:t>”</w:t>
      </w:r>
      <w:r>
        <w:rPr>
          <w:color w:val="000000"/>
          <w:spacing w:val="0"/>
          <w:w w:val="100"/>
          <w:position w:val="0"/>
        </w:rPr>
        <w:t>经费财政拨款预算数为</w:t>
      </w:r>
      <w:r>
        <w:rPr>
          <w:rFonts w:hint="eastAsia"/>
          <w:color w:val="000000"/>
          <w:spacing w:val="0"/>
          <w:w w:val="100"/>
          <w:position w:val="0"/>
          <w:lang w:val="en-US" w:eastAsia="zh-CN"/>
        </w:rPr>
        <w:t>23.3</w:t>
      </w:r>
      <w:r>
        <w:rPr>
          <w:color w:val="000000"/>
          <w:spacing w:val="0"/>
          <w:w w:val="100"/>
          <w:position w:val="0"/>
        </w:rPr>
        <w:t>万元，其中：：公务接待费</w:t>
      </w:r>
      <w:r>
        <w:rPr>
          <w:rFonts w:hint="eastAsia"/>
          <w:color w:val="000000"/>
          <w:spacing w:val="0"/>
          <w:w w:val="100"/>
          <w:position w:val="0"/>
          <w:lang w:val="en-US" w:eastAsia="zh-CN"/>
        </w:rPr>
        <w:t>1.3</w:t>
      </w:r>
      <w:r>
        <w:rPr>
          <w:color w:val="000000"/>
          <w:spacing w:val="0"/>
          <w:w w:val="100"/>
          <w:position w:val="0"/>
        </w:rPr>
        <w:t>万元，公务用车运行维护费</w:t>
      </w:r>
      <w:r>
        <w:rPr>
          <w:rFonts w:hint="eastAsia"/>
          <w:color w:val="000000"/>
          <w:spacing w:val="0"/>
          <w:w w:val="100"/>
          <w:position w:val="0"/>
          <w:lang w:val="en-US" w:eastAsia="zh-CN"/>
        </w:rPr>
        <w:t>22</w:t>
      </w:r>
      <w:r>
        <w:rPr>
          <w:color w:val="000000"/>
          <w:spacing w:val="0"/>
          <w:w w:val="100"/>
          <w:position w:val="0"/>
          <w:lang w:val="zh-CN" w:eastAsia="zh-CN" w:bidi="zh-CN"/>
        </w:rPr>
        <w:t>万元.</w:t>
      </w:r>
      <w:r>
        <w:rPr>
          <w:color w:val="000000"/>
          <w:spacing w:val="0"/>
          <w:w w:val="100"/>
          <w:position w:val="0"/>
        </w:rPr>
        <w:t>受新冠肺炎疫情影响，2022年暂不编列因公出国（境））经费，执行中确需安排出国（境）任务和计划的，按照一事一议的方式按程序报批后安排</w:t>
      </w:r>
      <w:r>
        <w:rPr>
          <w:color w:val="000000"/>
          <w:spacing w:val="0"/>
          <w:w w:val="100"/>
          <w:position w:val="0"/>
          <w:lang w:val="zh-CN" w:eastAsia="zh-CN" w:bidi="zh-CN"/>
        </w:rPr>
        <w:t>经费.</w:t>
      </w:r>
    </w:p>
    <w:p>
      <w:pPr>
        <w:pStyle w:val="15"/>
        <w:keepNext w:val="0"/>
        <w:keepLines w:val="0"/>
        <w:widowControl w:val="0"/>
        <w:shd w:val="clear" w:color="auto" w:fill="auto"/>
        <w:bidi w:val="0"/>
        <w:spacing w:before="0" w:after="0" w:line="605" w:lineRule="exact"/>
        <w:ind w:left="1320" w:right="0" w:firstLine="0"/>
        <w:jc w:val="left"/>
      </w:pPr>
      <w:r>
        <w:rPr>
          <w:color w:val="000000"/>
          <w:spacing w:val="0"/>
          <w:w w:val="100"/>
          <w:position w:val="0"/>
        </w:rPr>
        <w:t>（一</w:t>
      </w:r>
      <w:r>
        <w:rPr>
          <w:rFonts w:ascii="Times New Roman" w:hAnsi="Times New Roman" w:eastAsia="Times New Roman" w:cs="Times New Roman"/>
          <w:color w:val="000000"/>
          <w:spacing w:val="0"/>
          <w:w w:val="100"/>
          <w:position w:val="0"/>
          <w:sz w:val="30"/>
          <w:szCs w:val="30"/>
        </w:rPr>
        <w:t>）</w:t>
      </w:r>
      <w:r>
        <w:rPr>
          <w:color w:val="000000"/>
          <w:spacing w:val="0"/>
          <w:w w:val="100"/>
          <w:position w:val="0"/>
        </w:rPr>
        <w:t>公务接待费与</w:t>
      </w:r>
      <w:r>
        <w:rPr>
          <w:rFonts w:ascii="Times New Roman" w:hAnsi="Times New Roman" w:eastAsia="Times New Roman" w:cs="Times New Roman"/>
          <w:color w:val="000000"/>
          <w:spacing w:val="0"/>
          <w:w w:val="100"/>
          <w:position w:val="0"/>
          <w:sz w:val="30"/>
          <w:szCs w:val="30"/>
        </w:rPr>
        <w:t>2021</w:t>
      </w:r>
      <w:r>
        <w:rPr>
          <w:color w:val="000000"/>
          <w:spacing w:val="0"/>
          <w:w w:val="100"/>
          <w:position w:val="0"/>
        </w:rPr>
        <w:t>年预算</w:t>
      </w:r>
      <w:r>
        <w:rPr>
          <w:color w:val="000000"/>
          <w:spacing w:val="0"/>
          <w:w w:val="100"/>
          <w:position w:val="0"/>
          <w:lang w:val="zh-CN" w:eastAsia="zh-CN" w:bidi="zh-CN"/>
        </w:rPr>
        <w:t>持平.</w:t>
      </w:r>
    </w:p>
    <w:p>
      <w:pPr>
        <w:pStyle w:val="11"/>
        <w:keepNext w:val="0"/>
        <w:keepLines w:val="0"/>
        <w:widowControl w:val="0"/>
        <w:shd w:val="clear" w:color="auto" w:fill="auto"/>
        <w:bidi w:val="0"/>
        <w:spacing w:before="0" w:after="0" w:line="634" w:lineRule="exact"/>
        <w:ind w:left="520" w:right="0" w:firstLine="640"/>
        <w:jc w:val="both"/>
      </w:pPr>
      <w:r>
        <w:rPr>
          <w:color w:val="000000"/>
          <w:spacing w:val="0"/>
          <w:w w:val="100"/>
          <w:position w:val="0"/>
          <w:sz w:val="32"/>
          <w:szCs w:val="32"/>
          <w:lang w:val="zh-CN" w:eastAsia="zh-CN" w:bidi="zh-CN"/>
        </w:rPr>
        <w:t>2022</w:t>
      </w:r>
      <w:r>
        <w:rPr>
          <w:color w:val="000000"/>
          <w:spacing w:val="0"/>
          <w:w w:val="100"/>
          <w:position w:val="0"/>
        </w:rPr>
        <w:t>年公务接待费计划用于</w:t>
      </w:r>
      <w:r>
        <w:rPr>
          <w:rFonts w:hint="eastAsia"/>
          <w:color w:val="000000"/>
          <w:spacing w:val="0"/>
          <w:w w:val="100"/>
          <w:position w:val="0"/>
          <w:lang w:eastAsia="zh-CN"/>
        </w:rPr>
        <w:t>交通局</w:t>
      </w:r>
      <w:r>
        <w:rPr>
          <w:color w:val="000000"/>
          <w:spacing w:val="0"/>
          <w:w w:val="100"/>
          <w:position w:val="0"/>
        </w:rPr>
        <w:t>工作开展所必要的公务接待任务。</w:t>
      </w:r>
    </w:p>
    <w:p>
      <w:pPr>
        <w:pStyle w:val="11"/>
        <w:keepNext w:val="0"/>
        <w:keepLines w:val="0"/>
        <w:widowControl w:val="0"/>
        <w:shd w:val="clear" w:color="auto" w:fill="auto"/>
        <w:bidi w:val="0"/>
        <w:spacing w:before="0" w:after="0" w:line="624" w:lineRule="exact"/>
        <w:ind w:left="520" w:right="0" w:firstLine="800"/>
        <w:jc w:val="both"/>
      </w:pPr>
      <w:r>
        <w:rPr>
          <w:color w:val="000000"/>
          <w:spacing w:val="0"/>
          <w:w w:val="100"/>
          <w:position w:val="0"/>
          <w:sz w:val="28"/>
          <w:szCs w:val="28"/>
        </w:rPr>
        <w:t>（二）公务用车运行维护费较</w:t>
      </w:r>
      <w:r>
        <w:rPr>
          <w:rFonts w:ascii="Times New Roman" w:hAnsi="Times New Roman" w:eastAsia="Times New Roman" w:cs="Times New Roman"/>
          <w:color w:val="000000"/>
          <w:spacing w:val="0"/>
          <w:w w:val="100"/>
          <w:position w:val="0"/>
          <w:sz w:val="28"/>
          <w:szCs w:val="28"/>
        </w:rPr>
        <w:t>2021</w:t>
      </w:r>
      <w:r>
        <w:rPr>
          <w:color w:val="000000"/>
          <w:spacing w:val="0"/>
          <w:w w:val="100"/>
          <w:position w:val="0"/>
          <w:sz w:val="28"/>
          <w:szCs w:val="28"/>
        </w:rPr>
        <w:t>年预算增长</w:t>
      </w:r>
      <w:r>
        <w:rPr>
          <w:rFonts w:ascii="Times New Roman" w:hAnsi="Times New Roman" w:eastAsia="Times New Roman" w:cs="Times New Roman"/>
          <w:color w:val="000000"/>
          <w:spacing w:val="0"/>
          <w:w w:val="100"/>
          <w:position w:val="0"/>
          <w:sz w:val="28"/>
          <w:szCs w:val="28"/>
          <w:lang w:val="en-US" w:eastAsia="en-US" w:bidi="en-US"/>
        </w:rPr>
        <w:t>5.</w:t>
      </w:r>
      <w:r>
        <w:rPr>
          <w:rFonts w:ascii="Times New Roman" w:hAnsi="Times New Roman" w:eastAsia="Times New Roman" w:cs="Times New Roman"/>
          <w:color w:val="000000"/>
          <w:spacing w:val="0"/>
          <w:w w:val="100"/>
          <w:position w:val="0"/>
          <w:sz w:val="28"/>
          <w:szCs w:val="28"/>
        </w:rPr>
        <w:t>29%.</w:t>
      </w:r>
      <w:r>
        <w:rPr>
          <w:color w:val="000000"/>
          <w:spacing w:val="0"/>
          <w:w w:val="100"/>
          <w:position w:val="0"/>
          <w:sz w:val="28"/>
          <w:szCs w:val="28"/>
        </w:rPr>
        <w:t>主要</w:t>
      </w:r>
      <w:r>
        <w:rPr>
          <w:color w:val="000000"/>
          <w:spacing w:val="0"/>
          <w:w w:val="100"/>
          <w:position w:val="0"/>
        </w:rPr>
        <w:t>原因是机关服务中心在公务用车编制内购置</w:t>
      </w:r>
      <w:r>
        <w:rPr>
          <w:color w:val="000000"/>
          <w:spacing w:val="0"/>
          <w:w w:val="100"/>
          <w:position w:val="0"/>
          <w:sz w:val="32"/>
          <w:szCs w:val="32"/>
        </w:rPr>
        <w:t>1</w:t>
      </w:r>
      <w:r>
        <w:rPr>
          <w:color w:val="000000"/>
          <w:spacing w:val="0"/>
          <w:w w:val="100"/>
          <w:position w:val="0"/>
        </w:rPr>
        <w:t>辆一般公务用车。</w:t>
      </w:r>
    </w:p>
    <w:p>
      <w:pPr>
        <w:pStyle w:val="11"/>
        <w:keepNext w:val="0"/>
        <w:keepLines w:val="0"/>
        <w:widowControl w:val="0"/>
        <w:shd w:val="clear" w:color="auto" w:fill="auto"/>
        <w:bidi w:val="0"/>
        <w:spacing w:before="0" w:after="0" w:line="634" w:lineRule="exact"/>
        <w:ind w:left="520" w:right="0" w:firstLine="640"/>
        <w:jc w:val="both"/>
      </w:pPr>
      <w:r>
        <w:rPr>
          <w:color w:val="000000"/>
          <w:spacing w:val="0"/>
          <w:w w:val="100"/>
          <w:position w:val="0"/>
        </w:rPr>
        <w:t>单位现有公务用车</w:t>
      </w:r>
      <w:r>
        <w:rPr>
          <w:color w:val="000000"/>
          <w:spacing w:val="0"/>
          <w:w w:val="100"/>
          <w:position w:val="0"/>
          <w:sz w:val="32"/>
          <w:szCs w:val="32"/>
        </w:rPr>
        <w:t>71</w:t>
      </w:r>
      <w:r>
        <w:rPr>
          <w:color w:val="000000"/>
          <w:spacing w:val="0"/>
          <w:w w:val="100"/>
          <w:position w:val="0"/>
        </w:rPr>
        <w:t>辆，其中：：轿车</w:t>
      </w:r>
      <w:r>
        <w:rPr>
          <w:color w:val="000000"/>
          <w:spacing w:val="0"/>
          <w:w w:val="100"/>
          <w:position w:val="0"/>
          <w:sz w:val="32"/>
          <w:szCs w:val="32"/>
        </w:rPr>
        <w:t>34</w:t>
      </w:r>
      <w:r>
        <w:rPr>
          <w:color w:val="000000"/>
          <w:spacing w:val="0"/>
          <w:w w:val="100"/>
          <w:position w:val="0"/>
        </w:rPr>
        <w:t>辆，越野车</w:t>
      </w:r>
      <w:r>
        <w:rPr>
          <w:color w:val="000000"/>
          <w:spacing w:val="0"/>
          <w:w w:val="100"/>
          <w:position w:val="0"/>
          <w:sz w:val="32"/>
          <w:szCs w:val="32"/>
        </w:rPr>
        <w:t>22</w:t>
      </w:r>
      <w:r>
        <w:rPr>
          <w:color w:val="000000"/>
          <w:spacing w:val="0"/>
          <w:w w:val="100"/>
          <w:position w:val="0"/>
        </w:rPr>
        <w:t>辆，商务车</w:t>
      </w:r>
      <w:r>
        <w:rPr>
          <w:color w:val="000000"/>
          <w:spacing w:val="0"/>
          <w:w w:val="100"/>
          <w:position w:val="0"/>
          <w:sz w:val="32"/>
          <w:szCs w:val="32"/>
        </w:rPr>
        <w:t>5</w:t>
      </w:r>
      <w:r>
        <w:rPr>
          <w:color w:val="000000"/>
          <w:spacing w:val="0"/>
          <w:w w:val="100"/>
          <w:position w:val="0"/>
        </w:rPr>
        <w:t>辆，中大型客车</w:t>
      </w:r>
      <w:r>
        <w:rPr>
          <w:color w:val="000000"/>
          <w:spacing w:val="0"/>
          <w:w w:val="100"/>
          <w:position w:val="0"/>
          <w:sz w:val="32"/>
          <w:szCs w:val="32"/>
        </w:rPr>
        <w:t>7</w:t>
      </w:r>
      <w:r>
        <w:rPr>
          <w:color w:val="000000"/>
          <w:spacing w:val="0"/>
          <w:w w:val="100"/>
          <w:position w:val="0"/>
        </w:rPr>
        <w:t>辆，厢式货车</w:t>
      </w:r>
      <w:r>
        <w:rPr>
          <w:color w:val="000000"/>
          <w:spacing w:val="0"/>
          <w:w w:val="100"/>
          <w:position w:val="0"/>
          <w:sz w:val="32"/>
          <w:szCs w:val="32"/>
        </w:rPr>
        <w:t>3</w:t>
      </w:r>
      <w:r>
        <w:rPr>
          <w:color w:val="000000"/>
          <w:spacing w:val="0"/>
          <w:w w:val="100"/>
          <w:position w:val="0"/>
          <w:lang w:val="zh-CN" w:eastAsia="zh-CN" w:bidi="zh-CN"/>
        </w:rPr>
        <w:t>辆.</w:t>
      </w:r>
    </w:p>
    <w:p>
      <w:pPr>
        <w:pStyle w:val="11"/>
        <w:keepNext w:val="0"/>
        <w:keepLines w:val="0"/>
        <w:widowControl w:val="0"/>
        <w:shd w:val="clear" w:color="auto" w:fill="auto"/>
        <w:bidi w:val="0"/>
        <w:spacing w:before="0" w:after="0" w:line="634" w:lineRule="exact"/>
        <w:ind w:left="520" w:right="0" w:firstLine="640"/>
        <w:jc w:val="both"/>
      </w:pPr>
      <w:r>
        <w:rPr>
          <w:color w:val="000000"/>
          <w:spacing w:val="0"/>
          <w:w w:val="100"/>
          <w:position w:val="0"/>
          <w:sz w:val="32"/>
          <w:szCs w:val="32"/>
        </w:rPr>
        <w:t>2022</w:t>
      </w:r>
      <w:r>
        <w:rPr>
          <w:color w:val="000000"/>
          <w:spacing w:val="0"/>
          <w:w w:val="100"/>
          <w:position w:val="0"/>
        </w:rPr>
        <w:t>年安排公务用车购置费</w:t>
      </w:r>
      <w:r>
        <w:rPr>
          <w:color w:val="000000"/>
          <w:spacing w:val="0"/>
          <w:w w:val="100"/>
          <w:position w:val="0"/>
          <w:sz w:val="32"/>
          <w:szCs w:val="32"/>
        </w:rPr>
        <w:t>18</w:t>
      </w:r>
      <w:r>
        <w:rPr>
          <w:color w:val="000000"/>
          <w:spacing w:val="0"/>
          <w:w w:val="100"/>
          <w:position w:val="0"/>
        </w:rPr>
        <w:t>万元，拟购置一般公务用车</w:t>
      </w:r>
      <w:r>
        <w:rPr>
          <w:color w:val="000000"/>
          <w:spacing w:val="0"/>
          <w:w w:val="100"/>
          <w:position w:val="0"/>
          <w:sz w:val="32"/>
          <w:szCs w:val="32"/>
        </w:rPr>
        <w:t>1</w:t>
      </w:r>
      <w:r>
        <w:rPr>
          <w:color w:val="000000"/>
          <w:spacing w:val="0"/>
          <w:w w:val="100"/>
          <w:position w:val="0"/>
        </w:rPr>
        <w:t>辆。</w:t>
      </w:r>
    </w:p>
    <w:p>
      <w:pPr>
        <w:pStyle w:val="11"/>
        <w:keepNext w:val="0"/>
        <w:keepLines w:val="0"/>
        <w:widowControl w:val="0"/>
        <w:shd w:val="clear" w:color="auto" w:fill="auto"/>
        <w:bidi w:val="0"/>
        <w:spacing w:before="0" w:after="0" w:line="614" w:lineRule="exact"/>
        <w:ind w:left="520" w:right="0" w:firstLine="640"/>
        <w:jc w:val="both"/>
      </w:pPr>
      <w:r>
        <w:rPr>
          <w:color w:val="000000"/>
          <w:spacing w:val="0"/>
          <w:w w:val="100"/>
          <w:position w:val="0"/>
          <w:sz w:val="32"/>
          <w:szCs w:val="32"/>
        </w:rPr>
        <w:t>2022</w:t>
      </w:r>
      <w:r>
        <w:rPr>
          <w:color w:val="000000"/>
          <w:spacing w:val="0"/>
          <w:w w:val="100"/>
          <w:position w:val="0"/>
        </w:rPr>
        <w:t>年安排公务用车运行维护费</w:t>
      </w:r>
      <w:r>
        <w:rPr>
          <w:color w:val="000000"/>
          <w:spacing w:val="0"/>
          <w:w w:val="100"/>
          <w:position w:val="0"/>
          <w:sz w:val="32"/>
          <w:szCs w:val="32"/>
        </w:rPr>
        <w:t>340</w:t>
      </w:r>
      <w:r>
        <w:rPr>
          <w:color w:val="000000"/>
          <w:spacing w:val="0"/>
          <w:w w:val="100"/>
          <w:position w:val="0"/>
        </w:rPr>
        <w:t>万元，用于</w:t>
      </w:r>
      <w:r>
        <w:rPr>
          <w:color w:val="000000"/>
          <w:spacing w:val="0"/>
          <w:w w:val="100"/>
          <w:position w:val="0"/>
          <w:sz w:val="32"/>
          <w:szCs w:val="32"/>
        </w:rPr>
        <w:t>71</w:t>
      </w:r>
      <w:r>
        <w:rPr>
          <w:color w:val="000000"/>
          <w:spacing w:val="0"/>
          <w:w w:val="100"/>
          <w:position w:val="0"/>
        </w:rPr>
        <w:t>辆公务用车燃油、维修、保险等支出，主要保障省委及省委办公厅日常工作开展。</w:t>
      </w:r>
    </w:p>
    <w:p>
      <w:pPr>
        <w:pStyle w:val="11"/>
        <w:keepNext w:val="0"/>
        <w:keepLines w:val="0"/>
        <w:widowControl w:val="0"/>
        <w:shd w:val="clear" w:color="auto" w:fill="auto"/>
        <w:tabs>
          <w:tab w:val="left" w:pos="1777"/>
        </w:tabs>
        <w:bidi w:val="0"/>
        <w:spacing w:before="0" w:after="0" w:line="614" w:lineRule="exact"/>
        <w:ind w:left="1140" w:right="0" w:firstLine="0"/>
        <w:jc w:val="left"/>
      </w:pPr>
      <w:bookmarkStart w:id="23" w:name="bookmark79"/>
      <w:r>
        <w:rPr>
          <w:b/>
          <w:bCs/>
          <w:color w:val="000000"/>
          <w:spacing w:val="0"/>
          <w:w w:val="100"/>
          <w:position w:val="0"/>
        </w:rPr>
        <w:t>六</w:t>
      </w:r>
      <w:bookmarkEnd w:id="23"/>
      <w:r>
        <w:rPr>
          <w:b/>
          <w:bCs/>
          <w:color w:val="000000"/>
          <w:spacing w:val="0"/>
          <w:w w:val="100"/>
          <w:position w:val="0"/>
        </w:rPr>
        <w:t>、</w:t>
      </w:r>
      <w:r>
        <w:rPr>
          <w:b/>
          <w:bCs/>
          <w:color w:val="000000"/>
          <w:spacing w:val="0"/>
          <w:w w:val="100"/>
          <w:position w:val="0"/>
        </w:rPr>
        <w:tab/>
      </w:r>
      <w:r>
        <w:rPr>
          <w:b/>
          <w:bCs/>
          <w:color w:val="000000"/>
          <w:spacing w:val="0"/>
          <w:w w:val="100"/>
          <w:position w:val="0"/>
        </w:rPr>
        <w:t>政府性基金预算支出情况说明</w:t>
      </w:r>
    </w:p>
    <w:p>
      <w:pPr>
        <w:pStyle w:val="11"/>
        <w:keepNext w:val="0"/>
        <w:keepLines w:val="0"/>
        <w:widowControl w:val="0"/>
        <w:shd w:val="clear" w:color="auto" w:fill="auto"/>
        <w:bidi w:val="0"/>
        <w:spacing w:before="0" w:after="240" w:line="638" w:lineRule="exact"/>
        <w:ind w:left="520" w:right="0" w:firstLine="640"/>
        <w:jc w:val="both"/>
      </w:pPr>
      <w:r>
        <w:rPr>
          <w:rFonts w:hint="eastAsia"/>
          <w:color w:val="000000"/>
          <w:spacing w:val="0"/>
          <w:w w:val="100"/>
          <w:position w:val="0"/>
          <w:sz w:val="32"/>
          <w:szCs w:val="32"/>
          <w:lang w:eastAsia="zh-CN"/>
        </w:rPr>
        <w:t>交通局</w:t>
      </w:r>
      <w:r>
        <w:rPr>
          <w:color w:val="000000"/>
          <w:spacing w:val="0"/>
          <w:w w:val="100"/>
          <w:position w:val="0"/>
          <w:sz w:val="32"/>
          <w:szCs w:val="32"/>
        </w:rPr>
        <w:t>2022</w:t>
      </w:r>
      <w:r>
        <w:rPr>
          <w:color w:val="000000"/>
          <w:spacing w:val="0"/>
          <w:w w:val="100"/>
          <w:position w:val="0"/>
        </w:rPr>
        <w:t>年未使用政府性基金预算拨款安排的支出。</w:t>
      </w:r>
    </w:p>
    <w:p>
      <w:pPr>
        <w:pStyle w:val="11"/>
        <w:keepNext w:val="0"/>
        <w:keepLines w:val="0"/>
        <w:widowControl w:val="0"/>
        <w:shd w:val="clear" w:color="auto" w:fill="auto"/>
        <w:tabs>
          <w:tab w:val="left" w:pos="1777"/>
        </w:tabs>
        <w:bidi w:val="0"/>
        <w:spacing w:before="0" w:after="0" w:line="240" w:lineRule="auto"/>
        <w:ind w:left="1140" w:right="0" w:firstLine="0"/>
        <w:jc w:val="left"/>
        <w:rPr>
          <w:sz w:val="32"/>
          <w:szCs w:val="32"/>
        </w:rPr>
      </w:pPr>
      <w:bookmarkStart w:id="24" w:name="bookmark80"/>
      <w:r>
        <w:rPr>
          <w:b/>
          <w:bCs/>
          <w:color w:val="000000"/>
          <w:spacing w:val="0"/>
          <w:w w:val="100"/>
          <w:position w:val="0"/>
          <w:sz w:val="32"/>
          <w:szCs w:val="32"/>
        </w:rPr>
        <w:t>七</w:t>
      </w:r>
      <w:bookmarkEnd w:id="24"/>
      <w:r>
        <w:rPr>
          <w:b/>
          <w:bCs/>
          <w:color w:val="000000"/>
          <w:spacing w:val="0"/>
          <w:w w:val="100"/>
          <w:position w:val="0"/>
          <w:sz w:val="32"/>
          <w:szCs w:val="32"/>
        </w:rPr>
        <w:t>、</w:t>
      </w:r>
      <w:r>
        <w:rPr>
          <w:b/>
          <w:bCs/>
          <w:color w:val="000000"/>
          <w:spacing w:val="0"/>
          <w:w w:val="100"/>
          <w:position w:val="0"/>
          <w:sz w:val="32"/>
          <w:szCs w:val="32"/>
        </w:rPr>
        <w:tab/>
      </w:r>
      <w:r>
        <w:rPr>
          <w:b/>
          <w:bCs/>
          <w:color w:val="000000"/>
          <w:spacing w:val="0"/>
          <w:w w:val="100"/>
          <w:position w:val="0"/>
          <w:sz w:val="32"/>
          <w:szCs w:val="32"/>
        </w:rPr>
        <w:t>国有资本经营预算支出情况说明</w:t>
      </w:r>
    </w:p>
    <w:p>
      <w:pPr>
        <w:pStyle w:val="11"/>
        <w:keepNext w:val="0"/>
        <w:keepLines w:val="0"/>
        <w:widowControl w:val="0"/>
        <w:shd w:val="clear" w:color="auto" w:fill="auto"/>
        <w:bidi w:val="0"/>
        <w:spacing w:before="0" w:after="0" w:line="638" w:lineRule="exact"/>
        <w:ind w:left="520" w:right="0" w:firstLine="640"/>
        <w:jc w:val="both"/>
        <w:rPr>
          <w:sz w:val="32"/>
          <w:szCs w:val="32"/>
        </w:rPr>
      </w:pPr>
      <w:r>
        <w:rPr>
          <w:rFonts w:hint="eastAsia"/>
          <w:color w:val="000000"/>
          <w:spacing w:val="0"/>
          <w:w w:val="100"/>
          <w:position w:val="0"/>
          <w:sz w:val="32"/>
          <w:szCs w:val="32"/>
          <w:lang w:eastAsia="zh-CN"/>
        </w:rPr>
        <w:t>交通局</w:t>
      </w:r>
      <w:r>
        <w:rPr>
          <w:color w:val="000000"/>
          <w:spacing w:val="0"/>
          <w:w w:val="100"/>
          <w:position w:val="0"/>
          <w:sz w:val="32"/>
          <w:szCs w:val="32"/>
        </w:rPr>
        <w:t>2022</w:t>
      </w:r>
      <w:r>
        <w:rPr>
          <w:color w:val="000000"/>
          <w:spacing w:val="0"/>
          <w:w w:val="100"/>
          <w:position w:val="0"/>
          <w:sz w:val="30"/>
          <w:szCs w:val="30"/>
        </w:rPr>
        <w:t>年未使用国有资本经营预算拨款</w:t>
      </w:r>
      <w:r>
        <w:rPr>
          <w:color w:val="000000"/>
          <w:spacing w:val="0"/>
          <w:w w:val="100"/>
          <w:position w:val="0"/>
          <w:sz w:val="32"/>
          <w:szCs w:val="32"/>
        </w:rPr>
        <w:t>安排的支出。</w:t>
      </w:r>
    </w:p>
    <w:p>
      <w:pPr>
        <w:pStyle w:val="11"/>
        <w:keepNext w:val="0"/>
        <w:keepLines w:val="0"/>
        <w:widowControl w:val="0"/>
        <w:shd w:val="clear" w:color="auto" w:fill="auto"/>
        <w:tabs>
          <w:tab w:val="left" w:pos="1777"/>
        </w:tabs>
        <w:bidi w:val="0"/>
        <w:spacing w:before="0" w:after="240" w:line="634" w:lineRule="exact"/>
        <w:ind w:left="1140" w:right="0" w:firstLine="0"/>
        <w:jc w:val="left"/>
        <w:rPr>
          <w:sz w:val="32"/>
          <w:szCs w:val="32"/>
        </w:rPr>
      </w:pPr>
      <w:bookmarkStart w:id="25" w:name="bookmark81"/>
      <w:r>
        <w:rPr>
          <w:b/>
          <w:bCs/>
          <w:color w:val="000000"/>
          <w:spacing w:val="0"/>
          <w:w w:val="100"/>
          <w:position w:val="0"/>
          <w:sz w:val="32"/>
          <w:szCs w:val="32"/>
        </w:rPr>
        <w:t>八</w:t>
      </w:r>
      <w:bookmarkEnd w:id="25"/>
      <w:r>
        <w:rPr>
          <w:b/>
          <w:bCs/>
          <w:color w:val="000000"/>
          <w:spacing w:val="0"/>
          <w:w w:val="100"/>
          <w:position w:val="0"/>
          <w:sz w:val="32"/>
          <w:szCs w:val="32"/>
        </w:rPr>
        <w:t>、</w:t>
      </w:r>
      <w:r>
        <w:rPr>
          <w:b/>
          <w:bCs/>
          <w:color w:val="000000"/>
          <w:spacing w:val="0"/>
          <w:w w:val="100"/>
          <w:position w:val="0"/>
          <w:sz w:val="32"/>
          <w:szCs w:val="32"/>
        </w:rPr>
        <w:tab/>
      </w:r>
      <w:r>
        <w:rPr>
          <w:b/>
          <w:bCs/>
          <w:color w:val="000000"/>
          <w:spacing w:val="0"/>
          <w:w w:val="100"/>
          <w:position w:val="0"/>
          <w:sz w:val="32"/>
          <w:szCs w:val="32"/>
        </w:rPr>
        <w:t>其他重要事项的情况说明</w:t>
      </w:r>
    </w:p>
    <w:p>
      <w:pPr>
        <w:pStyle w:val="11"/>
        <w:keepNext w:val="0"/>
        <w:keepLines w:val="0"/>
        <w:widowControl w:val="0"/>
        <w:shd w:val="clear" w:color="auto" w:fill="auto"/>
        <w:bidi w:val="0"/>
        <w:spacing w:before="0" w:after="0" w:line="240" w:lineRule="auto"/>
        <w:ind w:left="1320" w:right="0" w:firstLine="0"/>
        <w:jc w:val="left"/>
        <w:rPr>
          <w:sz w:val="28"/>
          <w:szCs w:val="28"/>
        </w:rPr>
      </w:pPr>
      <w:r>
        <w:rPr>
          <w:color w:val="000000"/>
          <w:spacing w:val="0"/>
          <w:w w:val="100"/>
          <w:position w:val="0"/>
          <w:sz w:val="28"/>
          <w:szCs w:val="28"/>
        </w:rPr>
        <w:t>（一）机关运行经费</w:t>
      </w:r>
    </w:p>
    <w:p>
      <w:pPr>
        <w:pStyle w:val="11"/>
        <w:keepNext w:val="0"/>
        <w:keepLines w:val="0"/>
        <w:widowControl w:val="0"/>
        <w:shd w:val="clear" w:color="auto" w:fill="auto"/>
        <w:bidi w:val="0"/>
        <w:spacing w:before="0" w:after="260" w:line="648" w:lineRule="exact"/>
        <w:ind w:left="520" w:right="0" w:firstLine="640"/>
        <w:jc w:val="both"/>
        <w:rPr>
          <w:rFonts w:hint="eastAsia" w:eastAsia="宋体"/>
          <w:lang w:eastAsia="zh-CN"/>
        </w:rPr>
      </w:pPr>
      <w:r>
        <w:rPr>
          <w:color w:val="000000"/>
          <w:spacing w:val="0"/>
          <w:w w:val="100"/>
          <w:position w:val="0"/>
          <w:sz w:val="32"/>
          <w:szCs w:val="32"/>
        </w:rPr>
        <w:t>2022</w:t>
      </w:r>
      <w:r>
        <w:rPr>
          <w:color w:val="000000"/>
          <w:spacing w:val="0"/>
          <w:w w:val="100"/>
          <w:position w:val="0"/>
          <w:sz w:val="30"/>
          <w:szCs w:val="30"/>
        </w:rPr>
        <w:t>年，</w:t>
      </w:r>
      <w:r>
        <w:rPr>
          <w:rFonts w:hint="eastAsia"/>
          <w:color w:val="000000"/>
          <w:spacing w:val="0"/>
          <w:w w:val="100"/>
          <w:position w:val="0"/>
          <w:sz w:val="30"/>
          <w:szCs w:val="30"/>
          <w:lang w:eastAsia="zh-CN"/>
        </w:rPr>
        <w:t>交通局</w:t>
      </w:r>
      <w:r>
        <w:rPr>
          <w:color w:val="000000"/>
          <w:spacing w:val="0"/>
          <w:w w:val="100"/>
          <w:position w:val="0"/>
          <w:sz w:val="30"/>
          <w:szCs w:val="30"/>
        </w:rPr>
        <w:t>下属</w:t>
      </w:r>
      <w:r>
        <w:rPr>
          <w:color w:val="000000"/>
          <w:spacing w:val="0"/>
          <w:w w:val="100"/>
          <w:position w:val="0"/>
          <w:sz w:val="32"/>
          <w:szCs w:val="32"/>
        </w:rPr>
        <w:t>的机关运行经费财</w:t>
      </w:r>
      <w:r>
        <w:rPr>
          <w:color w:val="000000"/>
          <w:spacing w:val="0"/>
          <w:w w:val="100"/>
          <w:position w:val="0"/>
        </w:rPr>
        <w:t>政拨款预算为</w:t>
      </w:r>
      <w:r>
        <w:rPr>
          <w:rFonts w:hint="eastAsia"/>
          <w:color w:val="000000"/>
          <w:spacing w:val="0"/>
          <w:w w:val="100"/>
          <w:position w:val="0"/>
          <w:lang w:val="en-US" w:eastAsia="zh-CN"/>
        </w:rPr>
        <w:t>23.3</w:t>
      </w:r>
      <w:r>
        <w:rPr>
          <w:color w:val="000000"/>
          <w:spacing w:val="0"/>
          <w:w w:val="100"/>
          <w:position w:val="0"/>
        </w:rPr>
        <w:t>万元，比2021年预算</w:t>
      </w:r>
      <w:r>
        <w:rPr>
          <w:rFonts w:hint="eastAsia"/>
          <w:color w:val="000000"/>
          <w:spacing w:val="0"/>
          <w:w w:val="100"/>
          <w:position w:val="0"/>
          <w:lang w:eastAsia="zh-CN"/>
        </w:rPr>
        <w:t>增加</w:t>
      </w:r>
      <w:r>
        <w:rPr>
          <w:rFonts w:hint="eastAsia"/>
          <w:color w:val="000000"/>
          <w:spacing w:val="0"/>
          <w:w w:val="100"/>
          <w:position w:val="0"/>
          <w:lang w:val="en-US" w:eastAsia="zh-CN"/>
        </w:rPr>
        <w:t>19.7</w:t>
      </w:r>
      <w:r>
        <w:rPr>
          <w:color w:val="000000"/>
          <w:spacing w:val="0"/>
          <w:w w:val="100"/>
          <w:position w:val="0"/>
        </w:rPr>
        <w:t>万元，主要原因是按预算编制要求公用经费支出口径有所调整</w:t>
      </w:r>
      <w:r>
        <w:rPr>
          <w:rFonts w:hint="eastAsia"/>
          <w:color w:val="000000"/>
          <w:spacing w:val="0"/>
          <w:w w:val="100"/>
          <w:position w:val="0"/>
          <w:lang w:eastAsia="zh-CN"/>
        </w:rPr>
        <w:t>。</w:t>
      </w:r>
    </w:p>
    <w:p>
      <w:pPr>
        <w:pStyle w:val="15"/>
        <w:keepNext w:val="0"/>
        <w:keepLines w:val="0"/>
        <w:widowControl w:val="0"/>
        <w:shd w:val="clear" w:color="auto" w:fill="auto"/>
        <w:bidi w:val="0"/>
        <w:spacing w:before="0" w:after="0" w:line="240" w:lineRule="auto"/>
        <w:ind w:left="1320" w:right="0" w:firstLine="0"/>
        <w:jc w:val="left"/>
      </w:pPr>
      <w:r>
        <w:rPr>
          <w:b/>
          <w:bCs/>
          <w:color w:val="000000"/>
          <w:spacing w:val="0"/>
          <w:w w:val="100"/>
          <w:position w:val="0"/>
        </w:rPr>
        <w:t>（二</w:t>
      </w:r>
      <w:r>
        <w:rPr>
          <w:rFonts w:ascii="Times New Roman" w:hAnsi="Times New Roman" w:eastAsia="Times New Roman" w:cs="Times New Roman"/>
          <w:color w:val="000000"/>
          <w:spacing w:val="0"/>
          <w:w w:val="100"/>
          <w:position w:val="0"/>
          <w:sz w:val="22"/>
          <w:szCs w:val="22"/>
        </w:rPr>
        <w:t>）</w:t>
      </w:r>
      <w:r>
        <w:rPr>
          <w:b/>
          <w:bCs/>
          <w:color w:val="000000"/>
          <w:spacing w:val="0"/>
          <w:w w:val="100"/>
          <w:position w:val="0"/>
        </w:rPr>
        <w:t>政府采购情况</w:t>
      </w:r>
    </w:p>
    <w:p>
      <w:pPr>
        <w:pStyle w:val="11"/>
        <w:keepNext w:val="0"/>
        <w:keepLines w:val="0"/>
        <w:widowControl w:val="0"/>
        <w:shd w:val="clear" w:color="auto" w:fill="auto"/>
        <w:bidi w:val="0"/>
        <w:spacing w:before="0" w:after="260" w:line="612" w:lineRule="exact"/>
        <w:ind w:left="520" w:right="0" w:firstLine="640"/>
        <w:jc w:val="both"/>
        <w:rPr>
          <w:rFonts w:hint="eastAsia"/>
          <w:color w:val="000000"/>
          <w:spacing w:val="0"/>
          <w:w w:val="100"/>
          <w:position w:val="0"/>
          <w:lang w:val="en-US" w:eastAsia="zh-CN"/>
        </w:rPr>
      </w:pPr>
      <w:r>
        <w:rPr>
          <w:color w:val="000000"/>
          <w:spacing w:val="0"/>
          <w:w w:val="100"/>
          <w:position w:val="0"/>
        </w:rPr>
        <w:t>2022年，</w:t>
      </w:r>
      <w:r>
        <w:rPr>
          <w:rFonts w:hint="eastAsia"/>
          <w:color w:val="000000"/>
          <w:spacing w:val="0"/>
          <w:w w:val="100"/>
          <w:position w:val="0"/>
          <w:lang w:eastAsia="zh-CN"/>
        </w:rPr>
        <w:t>交通局</w:t>
      </w:r>
      <w:r>
        <w:rPr>
          <w:color w:val="000000"/>
          <w:spacing w:val="0"/>
          <w:w w:val="100"/>
          <w:position w:val="0"/>
        </w:rPr>
        <w:t>安排政府采购预算</w:t>
      </w:r>
      <w:r>
        <w:rPr>
          <w:rFonts w:hint="eastAsia"/>
          <w:color w:val="000000"/>
          <w:spacing w:val="0"/>
          <w:w w:val="100"/>
          <w:position w:val="0"/>
          <w:lang w:val="en-US" w:eastAsia="zh-CN"/>
        </w:rPr>
        <w:t>0</w:t>
      </w:r>
      <w:r>
        <w:rPr>
          <w:color w:val="000000"/>
          <w:spacing w:val="0"/>
          <w:w w:val="100"/>
          <w:position w:val="0"/>
        </w:rPr>
        <w:t>万元</w:t>
      </w:r>
      <w:r>
        <w:rPr>
          <w:rFonts w:hint="eastAsia"/>
          <w:color w:val="000000"/>
          <w:spacing w:val="0"/>
          <w:w w:val="100"/>
          <w:position w:val="0"/>
          <w:lang w:val="en-US" w:eastAsia="zh-CN"/>
        </w:rPr>
        <w:t>.</w:t>
      </w:r>
    </w:p>
    <w:p>
      <w:pPr>
        <w:pStyle w:val="11"/>
        <w:keepNext w:val="0"/>
        <w:keepLines w:val="0"/>
        <w:widowControl w:val="0"/>
        <w:shd w:val="clear" w:color="auto" w:fill="auto"/>
        <w:bidi w:val="0"/>
        <w:spacing w:before="0" w:after="260" w:line="612" w:lineRule="exact"/>
        <w:ind w:left="520" w:right="0" w:firstLine="640"/>
        <w:jc w:val="both"/>
      </w:pPr>
      <w:r>
        <w:rPr>
          <w:b/>
          <w:bCs/>
          <w:color w:val="000000"/>
          <w:spacing w:val="0"/>
          <w:w w:val="100"/>
          <w:position w:val="0"/>
        </w:rPr>
        <w:t>㈢）国有资产占有使用情况</w:t>
      </w:r>
    </w:p>
    <w:p>
      <w:pPr>
        <w:pStyle w:val="11"/>
        <w:keepNext w:val="0"/>
        <w:keepLines w:val="0"/>
        <w:widowControl w:val="0"/>
        <w:shd w:val="clear" w:color="auto" w:fill="auto"/>
        <w:bidi w:val="0"/>
        <w:spacing w:before="0" w:after="260" w:line="603" w:lineRule="exact"/>
        <w:ind w:left="520" w:right="0" w:firstLine="640"/>
        <w:jc w:val="both"/>
        <w:rPr>
          <w:color w:val="000000"/>
          <w:spacing w:val="0"/>
          <w:w w:val="100"/>
          <w:position w:val="0"/>
        </w:rPr>
      </w:pPr>
      <w:r>
        <w:rPr>
          <w:rFonts w:ascii="宋体" w:hAnsi="宋体" w:eastAsia="宋体" w:cs="宋体"/>
          <w:color w:val="000000"/>
          <w:spacing w:val="0"/>
          <w:w w:val="100"/>
          <w:position w:val="0"/>
          <w:sz w:val="30"/>
          <w:szCs w:val="30"/>
          <w:u w:val="none"/>
          <w:shd w:val="clear" w:color="auto" w:fill="auto"/>
          <w:lang w:val="zh-TW" w:eastAsia="zh-TW" w:bidi="zh-TW"/>
        </w:rPr>
        <w:t>截至2021年底，</w:t>
      </w:r>
      <w:r>
        <w:rPr>
          <w:rFonts w:hint="eastAsia" w:ascii="宋体" w:hAnsi="宋体" w:eastAsia="宋体" w:cs="宋体"/>
          <w:color w:val="000000"/>
          <w:spacing w:val="0"/>
          <w:w w:val="100"/>
          <w:position w:val="0"/>
          <w:sz w:val="30"/>
          <w:szCs w:val="30"/>
          <w:u w:val="none"/>
          <w:shd w:val="clear" w:color="auto" w:fill="auto"/>
          <w:lang w:val="zh-TW" w:eastAsia="zh-TW" w:bidi="zh-TW"/>
        </w:rPr>
        <w:t>截至去年底，</w:t>
      </w:r>
      <w:r>
        <w:rPr>
          <w:rFonts w:hint="eastAsia" w:ascii="宋体" w:hAnsi="宋体" w:eastAsia="宋体" w:cs="宋体"/>
          <w:color w:val="000000"/>
          <w:spacing w:val="0"/>
          <w:w w:val="100"/>
          <w:position w:val="0"/>
          <w:sz w:val="30"/>
          <w:szCs w:val="30"/>
          <w:u w:val="none"/>
          <w:shd w:val="clear" w:color="auto" w:fill="auto"/>
          <w:lang w:val="en-US" w:eastAsia="zh-CN" w:bidi="zh-TW"/>
        </w:rPr>
        <w:t>夹江县交通运输局</w:t>
      </w:r>
      <w:r>
        <w:rPr>
          <w:rFonts w:hint="eastAsia" w:ascii="宋体" w:hAnsi="宋体" w:eastAsia="宋体" w:cs="宋体"/>
          <w:color w:val="000000"/>
          <w:spacing w:val="0"/>
          <w:w w:val="100"/>
          <w:position w:val="0"/>
          <w:sz w:val="30"/>
          <w:szCs w:val="30"/>
          <w:u w:val="none"/>
          <w:shd w:val="clear" w:color="auto" w:fill="auto"/>
          <w:lang w:val="zh-TW" w:eastAsia="zh-TW" w:bidi="zh-TW"/>
        </w:rPr>
        <w:t>共有车辆</w:t>
      </w:r>
      <w:r>
        <w:rPr>
          <w:rFonts w:hint="eastAsia" w:ascii="宋体" w:hAnsi="宋体" w:eastAsia="宋体" w:cs="宋体"/>
          <w:color w:val="000000"/>
          <w:spacing w:val="0"/>
          <w:w w:val="100"/>
          <w:position w:val="0"/>
          <w:sz w:val="30"/>
          <w:szCs w:val="30"/>
          <w:u w:val="none"/>
          <w:shd w:val="clear" w:color="auto" w:fill="auto"/>
          <w:lang w:val="en-US" w:eastAsia="zh-CN" w:bidi="zh-TW"/>
        </w:rPr>
        <w:t>1</w:t>
      </w:r>
      <w:r>
        <w:rPr>
          <w:rFonts w:hint="eastAsia" w:ascii="宋体" w:hAnsi="宋体" w:eastAsia="宋体" w:cs="宋体"/>
          <w:color w:val="000000"/>
          <w:spacing w:val="0"/>
          <w:w w:val="100"/>
          <w:position w:val="0"/>
          <w:sz w:val="30"/>
          <w:szCs w:val="30"/>
          <w:u w:val="none"/>
          <w:shd w:val="clear" w:color="auto" w:fill="auto"/>
          <w:lang w:val="zh-TW" w:eastAsia="zh-TW" w:bidi="zh-TW"/>
        </w:rPr>
        <w:t>辆。单位价值200万元以上大型设备</w:t>
      </w:r>
      <w:r>
        <w:rPr>
          <w:rFonts w:hint="eastAsia" w:ascii="宋体" w:hAnsi="宋体" w:eastAsia="宋体" w:cs="宋体"/>
          <w:color w:val="000000"/>
          <w:spacing w:val="0"/>
          <w:w w:val="100"/>
          <w:position w:val="0"/>
          <w:sz w:val="30"/>
          <w:szCs w:val="30"/>
          <w:u w:val="none"/>
          <w:shd w:val="clear" w:color="auto" w:fill="auto"/>
          <w:lang w:val="en-US" w:eastAsia="zh-CN" w:bidi="zh-TW"/>
        </w:rPr>
        <w:t>0</w:t>
      </w:r>
      <w:r>
        <w:rPr>
          <w:rFonts w:hint="eastAsia" w:ascii="宋体" w:hAnsi="宋体" w:eastAsia="宋体" w:cs="宋体"/>
          <w:color w:val="000000"/>
          <w:spacing w:val="0"/>
          <w:w w:val="100"/>
          <w:position w:val="0"/>
          <w:sz w:val="30"/>
          <w:szCs w:val="30"/>
          <w:u w:val="none"/>
          <w:shd w:val="clear" w:color="auto" w:fill="auto"/>
          <w:lang w:val="zh-TW" w:eastAsia="zh-TW" w:bidi="zh-TW"/>
        </w:rPr>
        <w:t>台（套）</w:t>
      </w:r>
      <w:r>
        <w:rPr>
          <w:rFonts w:hint="eastAsia"/>
          <w:color w:val="000000"/>
          <w:spacing w:val="0"/>
          <w:w w:val="100"/>
          <w:position w:val="0"/>
          <w:lang w:val="zh-TW" w:eastAsia="zh-TW"/>
        </w:rPr>
        <w:t>。</w:t>
      </w:r>
      <w:r>
        <w:rPr>
          <w:color w:val="000000"/>
          <w:spacing w:val="0"/>
          <w:w w:val="100"/>
          <w:position w:val="0"/>
        </w:rPr>
        <w:t>无单位价值200万元以上的大型设备。</w:t>
      </w:r>
      <w:bookmarkStart w:id="49" w:name="_GoBack"/>
      <w:bookmarkEnd w:id="49"/>
    </w:p>
    <w:p>
      <w:pPr>
        <w:pStyle w:val="11"/>
        <w:keepNext w:val="0"/>
        <w:keepLines w:val="0"/>
        <w:widowControl w:val="0"/>
        <w:shd w:val="clear" w:color="auto" w:fill="auto"/>
        <w:bidi w:val="0"/>
        <w:spacing w:before="0" w:after="260" w:line="603" w:lineRule="exact"/>
        <w:ind w:left="520" w:right="0" w:firstLine="640"/>
        <w:jc w:val="both"/>
      </w:pPr>
      <w:r>
        <w:rPr>
          <w:color w:val="000000"/>
          <w:spacing w:val="0"/>
          <w:w w:val="100"/>
          <w:position w:val="0"/>
        </w:rPr>
        <w:t>2022年部门预算安排一般公务用车购置经</w:t>
      </w:r>
      <w:r>
        <w:rPr>
          <w:rFonts w:hint="eastAsia"/>
          <w:color w:val="000000"/>
          <w:spacing w:val="0"/>
          <w:w w:val="100"/>
          <w:position w:val="0"/>
          <w:lang w:val="en-US" w:eastAsia="zh-CN"/>
        </w:rPr>
        <w:t>0</w:t>
      </w:r>
      <w:r>
        <w:rPr>
          <w:color w:val="000000"/>
          <w:spacing w:val="0"/>
          <w:w w:val="100"/>
          <w:position w:val="0"/>
        </w:rPr>
        <w:t>万元.其中，财政拨款预算安排</w:t>
      </w:r>
      <w:r>
        <w:rPr>
          <w:rFonts w:hint="eastAsia"/>
          <w:color w:val="000000"/>
          <w:spacing w:val="0"/>
          <w:w w:val="100"/>
          <w:position w:val="0"/>
          <w:lang w:val="en-US" w:eastAsia="zh-CN"/>
        </w:rPr>
        <w:t>0</w:t>
      </w:r>
      <w:r>
        <w:rPr>
          <w:color w:val="000000"/>
          <w:spacing w:val="0"/>
          <w:w w:val="100"/>
          <w:position w:val="0"/>
          <w:lang w:val="zh-CN" w:eastAsia="zh-CN" w:bidi="zh-CN"/>
        </w:rPr>
        <w:t>万元.</w:t>
      </w:r>
    </w:p>
    <w:p>
      <w:pPr>
        <w:pStyle w:val="15"/>
        <w:keepNext w:val="0"/>
        <w:keepLines w:val="0"/>
        <w:widowControl w:val="0"/>
        <w:shd w:val="clear" w:color="auto" w:fill="auto"/>
        <w:bidi w:val="0"/>
        <w:spacing w:before="0" w:after="0" w:line="603" w:lineRule="exact"/>
        <w:ind w:left="1320" w:right="0" w:firstLine="0"/>
        <w:jc w:val="left"/>
      </w:pPr>
      <w:r>
        <w:rPr>
          <w:color w:val="000000"/>
          <w:spacing w:val="0"/>
          <w:w w:val="100"/>
          <w:position w:val="0"/>
        </w:rPr>
        <w:t>（四</w:t>
      </w:r>
      <w:r>
        <w:rPr>
          <w:color w:val="000000"/>
          <w:spacing w:val="0"/>
          <w:w w:val="100"/>
          <w:position w:val="0"/>
          <w:sz w:val="30"/>
          <w:szCs w:val="30"/>
        </w:rPr>
        <w:t>）</w:t>
      </w:r>
      <w:r>
        <w:rPr>
          <w:color w:val="000000"/>
          <w:spacing w:val="0"/>
          <w:w w:val="100"/>
          <w:position w:val="0"/>
        </w:rPr>
        <w:t>绩效目标设置情况</w:t>
      </w:r>
    </w:p>
    <w:p>
      <w:pPr>
        <w:pStyle w:val="11"/>
        <w:keepNext w:val="0"/>
        <w:keepLines w:val="0"/>
        <w:widowControl w:val="0"/>
        <w:shd w:val="clear" w:color="auto" w:fill="auto"/>
        <w:bidi w:val="0"/>
        <w:spacing w:before="0" w:after="260" w:line="603" w:lineRule="exact"/>
        <w:ind w:left="520" w:right="0" w:firstLine="640"/>
        <w:jc w:val="both"/>
        <w:rPr>
          <w:rFonts w:hint="eastAsia" w:eastAsia="宋体"/>
          <w:color w:val="000000"/>
          <w:spacing w:val="0"/>
          <w:w w:val="100"/>
          <w:position w:val="0"/>
          <w:lang w:val="en-US" w:eastAsia="zh-CN"/>
        </w:rPr>
      </w:pPr>
      <w:r>
        <w:rPr>
          <w:color w:val="000000"/>
          <w:spacing w:val="0"/>
          <w:w w:val="100"/>
          <w:position w:val="0"/>
        </w:rPr>
        <w:t>2022年，</w:t>
      </w:r>
      <w:r>
        <w:rPr>
          <w:rFonts w:hint="eastAsia"/>
          <w:color w:val="000000"/>
          <w:spacing w:val="0"/>
          <w:w w:val="100"/>
          <w:position w:val="0"/>
          <w:lang w:eastAsia="zh-CN"/>
        </w:rPr>
        <w:t>交通局</w:t>
      </w:r>
      <w:r>
        <w:rPr>
          <w:color w:val="000000"/>
          <w:spacing w:val="0"/>
          <w:w w:val="100"/>
          <w:position w:val="0"/>
        </w:rPr>
        <w:t>开展绩效目标管理的项目</w:t>
      </w:r>
      <w:r>
        <w:rPr>
          <w:rFonts w:hint="eastAsia"/>
          <w:color w:val="000000"/>
          <w:spacing w:val="0"/>
          <w:w w:val="100"/>
          <w:position w:val="0"/>
          <w:lang w:val="en-US" w:eastAsia="zh-CN"/>
        </w:rPr>
        <w:t>3</w:t>
      </w:r>
      <w:r>
        <w:rPr>
          <w:color w:val="000000"/>
          <w:spacing w:val="0"/>
          <w:w w:val="100"/>
          <w:position w:val="0"/>
        </w:rPr>
        <w:t>个，涉及预算</w:t>
      </w:r>
      <w:r>
        <w:rPr>
          <w:rFonts w:hint="eastAsia"/>
          <w:color w:val="000000"/>
          <w:spacing w:val="0"/>
          <w:w w:val="100"/>
          <w:position w:val="0"/>
          <w:lang w:val="en-US" w:eastAsia="zh-CN"/>
        </w:rPr>
        <w:t>3315.4</w:t>
      </w:r>
      <w:r>
        <w:rPr>
          <w:color w:val="000000"/>
          <w:spacing w:val="0"/>
          <w:w w:val="100"/>
          <w:position w:val="0"/>
        </w:rPr>
        <w:t>万元.其中：人员类项目</w:t>
      </w:r>
      <w:r>
        <w:rPr>
          <w:rFonts w:hint="eastAsia"/>
          <w:color w:val="000000"/>
          <w:spacing w:val="0"/>
          <w:w w:val="100"/>
          <w:position w:val="0"/>
          <w:lang w:val="en-US" w:eastAsia="zh-CN"/>
        </w:rPr>
        <w:t>0</w:t>
      </w:r>
      <w:r>
        <w:rPr>
          <w:color w:val="000000"/>
          <w:spacing w:val="0"/>
          <w:w w:val="100"/>
          <w:position w:val="0"/>
        </w:rPr>
        <w:t>个，涉及预算</w:t>
      </w:r>
      <w:r>
        <w:rPr>
          <w:rFonts w:hint="eastAsia"/>
          <w:color w:val="000000"/>
          <w:spacing w:val="0"/>
          <w:w w:val="100"/>
          <w:position w:val="0"/>
          <w:lang w:val="en-US" w:eastAsia="zh-CN"/>
        </w:rPr>
        <w:t>0</w:t>
      </w:r>
      <w:r>
        <w:rPr>
          <w:color w:val="000000"/>
          <w:spacing w:val="0"/>
          <w:w w:val="100"/>
          <w:position w:val="0"/>
        </w:rPr>
        <w:t>万元；运转类项目</w:t>
      </w:r>
      <w:r>
        <w:rPr>
          <w:rFonts w:hint="eastAsia"/>
          <w:color w:val="000000"/>
          <w:spacing w:val="0"/>
          <w:w w:val="100"/>
          <w:position w:val="0"/>
          <w:lang w:val="en-US" w:eastAsia="zh-CN"/>
        </w:rPr>
        <w:t>3</w:t>
      </w:r>
      <w:r>
        <w:rPr>
          <w:color w:val="000000"/>
          <w:spacing w:val="0"/>
          <w:w w:val="100"/>
          <w:position w:val="0"/>
        </w:rPr>
        <w:t>个，涉及预算</w:t>
      </w:r>
      <w:r>
        <w:rPr>
          <w:rFonts w:hint="eastAsia"/>
          <w:color w:val="000000"/>
          <w:spacing w:val="0"/>
          <w:w w:val="100"/>
          <w:position w:val="0"/>
          <w:lang w:val="en-US" w:eastAsia="zh-CN"/>
        </w:rPr>
        <w:t>3315.4</w:t>
      </w:r>
      <w:r>
        <w:rPr>
          <w:color w:val="000000"/>
          <w:spacing w:val="0"/>
          <w:w w:val="100"/>
          <w:position w:val="0"/>
        </w:rPr>
        <w:t>万元</w:t>
      </w:r>
      <w:r>
        <w:rPr>
          <w:rFonts w:hint="eastAsia"/>
          <w:color w:val="000000"/>
          <w:spacing w:val="0"/>
          <w:w w:val="100"/>
          <w:position w:val="0"/>
          <w:lang w:eastAsia="zh-CN"/>
        </w:rPr>
        <w:t>。</w:t>
      </w:r>
    </w:p>
    <w:p>
      <w:pPr>
        <w:rPr>
          <w:rFonts w:hint="eastAsia"/>
          <w:color w:val="000000"/>
          <w:spacing w:val="0"/>
          <w:w w:val="100"/>
          <w:position w:val="0"/>
          <w:lang w:val="en-US" w:eastAsia="zh-CN"/>
        </w:rPr>
      </w:pPr>
      <w:r>
        <w:rPr>
          <w:rFonts w:hint="eastAsia"/>
          <w:color w:val="000000"/>
          <w:spacing w:val="0"/>
          <w:w w:val="100"/>
          <w:position w:val="0"/>
          <w:lang w:val="en-US" w:eastAsia="zh-CN"/>
        </w:rPr>
        <w:br w:type="page"/>
      </w:r>
    </w:p>
    <w:p>
      <w:pPr>
        <w:pStyle w:val="13"/>
        <w:keepNext w:val="0"/>
        <w:keepLines w:val="0"/>
        <w:widowControl w:val="0"/>
        <w:shd w:val="clear" w:color="auto" w:fill="auto"/>
        <w:bidi w:val="0"/>
        <w:spacing w:before="4840" w:after="0" w:line="240" w:lineRule="auto"/>
        <w:ind w:left="0" w:right="0" w:firstLine="0"/>
        <w:jc w:val="center"/>
      </w:pPr>
      <w:r>
        <w:rPr>
          <w:color w:val="000000"/>
          <w:spacing w:val="0"/>
          <w:w w:val="100"/>
          <w:position w:val="0"/>
        </w:rPr>
        <w:t>第四部分名词解释</w:t>
      </w:r>
    </w:p>
    <w:p>
      <w:pPr>
        <w:pStyle w:val="11"/>
        <w:keepNext w:val="0"/>
        <w:keepLines w:val="0"/>
        <w:widowControl w:val="0"/>
        <w:numPr>
          <w:ilvl w:val="0"/>
          <w:numId w:val="1"/>
        </w:numPr>
        <w:shd w:val="clear" w:color="auto" w:fill="auto"/>
        <w:tabs>
          <w:tab w:val="left" w:pos="1532"/>
        </w:tabs>
        <w:bidi w:val="0"/>
        <w:spacing w:before="0" w:after="0" w:line="607" w:lineRule="exact"/>
        <w:ind w:left="1140" w:right="0" w:firstLine="0"/>
        <w:jc w:val="both"/>
      </w:pPr>
      <w:bookmarkStart w:id="26" w:name="bookmark82"/>
      <w:bookmarkEnd w:id="26"/>
      <w:r>
        <w:rPr>
          <w:color w:val="000000"/>
          <w:spacing w:val="0"/>
          <w:w w:val="100"/>
          <w:position w:val="0"/>
        </w:rPr>
        <w:t>财政拨款收入：指省级财政当年拨付的资金.</w:t>
      </w:r>
    </w:p>
    <w:p>
      <w:pPr>
        <w:pStyle w:val="11"/>
        <w:keepNext w:val="0"/>
        <w:keepLines w:val="0"/>
        <w:widowControl w:val="0"/>
        <w:numPr>
          <w:ilvl w:val="0"/>
          <w:numId w:val="1"/>
        </w:numPr>
        <w:shd w:val="clear" w:color="auto" w:fill="auto"/>
        <w:tabs>
          <w:tab w:val="left" w:pos="1532"/>
        </w:tabs>
        <w:bidi w:val="0"/>
        <w:spacing w:before="0" w:after="0" w:line="617" w:lineRule="exact"/>
        <w:ind w:left="540" w:right="0" w:firstLine="600"/>
        <w:jc w:val="both"/>
      </w:pPr>
      <w:bookmarkStart w:id="27" w:name="bookmark83"/>
      <w:bookmarkEnd w:id="27"/>
      <w:r>
        <w:rPr>
          <w:color w:val="000000"/>
          <w:spacing w:val="0"/>
          <w:w w:val="100"/>
          <w:position w:val="0"/>
        </w:rPr>
        <w:t>其他收入：：指除上述”财政拨款收入事业收入”等以外的收入。主要是银行存款利息收入等。</w:t>
      </w:r>
    </w:p>
    <w:p>
      <w:pPr>
        <w:pStyle w:val="11"/>
        <w:keepNext w:val="0"/>
        <w:keepLines w:val="0"/>
        <w:widowControl w:val="0"/>
        <w:numPr>
          <w:ilvl w:val="0"/>
          <w:numId w:val="1"/>
        </w:numPr>
        <w:shd w:val="clear" w:color="auto" w:fill="auto"/>
        <w:tabs>
          <w:tab w:val="left" w:pos="1542"/>
        </w:tabs>
        <w:bidi w:val="0"/>
        <w:spacing w:before="0" w:after="0" w:line="617" w:lineRule="exact"/>
        <w:ind w:left="540" w:right="0" w:firstLine="600"/>
        <w:jc w:val="both"/>
      </w:pPr>
      <w:bookmarkStart w:id="28" w:name="bookmark84"/>
      <w:bookmarkEnd w:id="28"/>
      <w:r>
        <w:rPr>
          <w:color w:val="000000"/>
          <w:spacing w:val="0"/>
          <w:w w:val="100"/>
          <w:position w:val="0"/>
        </w:rPr>
        <w:t>年初结转和结余：：指上个年度尚未完成、结转到本年度按有关规定继续使用的资金。</w:t>
      </w:r>
    </w:p>
    <w:p>
      <w:pPr>
        <w:pStyle w:val="11"/>
        <w:keepNext w:val="0"/>
        <w:keepLines w:val="0"/>
        <w:widowControl w:val="0"/>
        <w:numPr>
          <w:ilvl w:val="0"/>
          <w:numId w:val="1"/>
        </w:numPr>
        <w:shd w:val="clear" w:color="auto" w:fill="auto"/>
        <w:tabs>
          <w:tab w:val="left" w:pos="1546"/>
        </w:tabs>
        <w:bidi w:val="0"/>
        <w:spacing w:before="0" w:after="0" w:line="607" w:lineRule="exact"/>
        <w:ind w:left="540" w:right="0" w:firstLine="600"/>
        <w:jc w:val="both"/>
      </w:pPr>
      <w:bookmarkStart w:id="29" w:name="bookmark85"/>
      <w:bookmarkEnd w:id="29"/>
      <w:r>
        <w:rPr>
          <w:color w:val="000000"/>
          <w:spacing w:val="0"/>
          <w:w w:val="100"/>
          <w:position w:val="0"/>
        </w:rPr>
        <w:t>年末结转和结余：：指本年度或以前年度预算安排、因客观条件发生变化无法按原计划实施，需延迟到以后年度按有关规定继续使用的资金。</w:t>
      </w:r>
    </w:p>
    <w:p>
      <w:pPr>
        <w:pStyle w:val="11"/>
        <w:keepNext w:val="0"/>
        <w:keepLines w:val="0"/>
        <w:widowControl w:val="0"/>
        <w:numPr>
          <w:ilvl w:val="0"/>
          <w:numId w:val="1"/>
        </w:numPr>
        <w:shd w:val="clear" w:color="auto" w:fill="auto"/>
        <w:tabs>
          <w:tab w:val="left" w:pos="1546"/>
        </w:tabs>
        <w:bidi w:val="0"/>
        <w:spacing w:before="0" w:after="0" w:line="634" w:lineRule="exact"/>
        <w:ind w:left="540" w:right="0" w:firstLine="600"/>
        <w:jc w:val="both"/>
      </w:pPr>
      <w:bookmarkStart w:id="30" w:name="bookmark86"/>
      <w:bookmarkEnd w:id="30"/>
      <w:r>
        <w:rPr>
          <w:color w:val="000000"/>
          <w:spacing w:val="0"/>
          <w:w w:val="100"/>
          <w:position w:val="0"/>
        </w:rPr>
        <w:t>基本支出：：指为保障机构正常运转、完成日常工作任务而发生的人员支出和公用支出。</w:t>
      </w:r>
    </w:p>
    <w:p>
      <w:pPr>
        <w:pStyle w:val="11"/>
        <w:keepNext w:val="0"/>
        <w:keepLines w:val="0"/>
        <w:widowControl w:val="0"/>
        <w:numPr>
          <w:ilvl w:val="0"/>
          <w:numId w:val="1"/>
        </w:numPr>
        <w:shd w:val="clear" w:color="auto" w:fill="auto"/>
        <w:tabs>
          <w:tab w:val="left" w:pos="1546"/>
        </w:tabs>
        <w:bidi w:val="0"/>
        <w:spacing w:before="0" w:after="0" w:line="629" w:lineRule="exact"/>
        <w:ind w:left="540" w:right="0" w:firstLine="600"/>
        <w:jc w:val="both"/>
      </w:pPr>
      <w:bookmarkStart w:id="31" w:name="bookmark87"/>
      <w:bookmarkEnd w:id="31"/>
      <w:r>
        <w:rPr>
          <w:color w:val="000000"/>
          <w:spacing w:val="0"/>
          <w:w w:val="100"/>
          <w:position w:val="0"/>
        </w:rPr>
        <w:t>项目支出：：指在基本支出之外为完成特定行政任务和事业发展目标所发生的支出。</w:t>
      </w:r>
    </w:p>
    <w:p>
      <w:pPr>
        <w:pStyle w:val="11"/>
        <w:keepNext w:val="0"/>
        <w:keepLines w:val="0"/>
        <w:widowControl w:val="0"/>
        <w:numPr>
          <w:ilvl w:val="0"/>
          <w:numId w:val="1"/>
        </w:numPr>
        <w:shd w:val="clear" w:color="auto" w:fill="auto"/>
        <w:tabs>
          <w:tab w:val="left" w:pos="1556"/>
        </w:tabs>
        <w:bidi w:val="0"/>
        <w:spacing w:before="0" w:after="0" w:line="601" w:lineRule="exact"/>
        <w:ind w:left="540" w:right="0" w:firstLine="600"/>
        <w:jc w:val="both"/>
      </w:pPr>
      <w:bookmarkStart w:id="32" w:name="bookmark88"/>
      <w:bookmarkEnd w:id="32"/>
      <w:r>
        <w:rPr>
          <w:color w:val="000000"/>
          <w:spacing w:val="0"/>
          <w:w w:val="100"/>
          <w:position w:val="0"/>
          <w:lang w:val="zh-CN" w:eastAsia="zh-CN" w:bidi="zh-CN"/>
        </w:rPr>
        <w:t>“三公</w:t>
      </w:r>
      <w:r>
        <w:rPr>
          <w:color w:val="000000"/>
          <w:spacing w:val="0"/>
          <w:w w:val="100"/>
          <w:position w:val="0"/>
        </w:rPr>
        <w:t>〃经费：：指部门用财政拨款安排的因公出国（境）费、公务用车购置及运行费和公务接待费.其中，因公出国（境）费反映单位公务出国（境）</w:t>
      </w:r>
      <w:r>
        <w:rPr>
          <w:color w:val="000000"/>
          <w:spacing w:val="0"/>
          <w:w w:val="100"/>
          <w:position w:val="0"/>
          <w:lang w:val="en-US" w:eastAsia="en-US" w:bidi="en-US"/>
        </w:rPr>
        <w:t>｝</w:t>
      </w:r>
      <w:r>
        <w:rPr>
          <w:color w:val="000000"/>
          <w:spacing w:val="0"/>
          <w:w w:val="100"/>
          <w:position w:val="0"/>
        </w:rPr>
        <w:t>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w:t>
      </w:r>
    </w:p>
    <w:p>
      <w:pPr>
        <w:pStyle w:val="11"/>
        <w:keepNext w:val="0"/>
        <w:keepLines w:val="0"/>
        <w:widowControl w:val="0"/>
        <w:numPr>
          <w:ilvl w:val="0"/>
          <w:numId w:val="1"/>
        </w:numPr>
        <w:shd w:val="clear" w:color="auto" w:fill="auto"/>
        <w:tabs>
          <w:tab w:val="left" w:pos="1566"/>
        </w:tabs>
        <w:bidi w:val="0"/>
        <w:spacing w:before="0" w:after="0" w:line="601" w:lineRule="exact"/>
        <w:ind w:left="540" w:right="0" w:firstLine="600"/>
        <w:jc w:val="both"/>
        <w:sectPr>
          <w:headerReference r:id="rId39" w:type="first"/>
          <w:footerReference r:id="rId42" w:type="first"/>
          <w:headerReference r:id="rId37" w:type="default"/>
          <w:footerReference r:id="rId40" w:type="default"/>
          <w:headerReference r:id="rId38" w:type="even"/>
          <w:footerReference r:id="rId41" w:type="even"/>
          <w:footnotePr>
            <w:numFmt w:val="decimal"/>
          </w:footnotePr>
          <w:pgSz w:w="11900" w:h="16840"/>
          <w:pgMar w:top="1920" w:right="1111" w:bottom="2087" w:left="1073" w:header="0" w:footer="3" w:gutter="0"/>
          <w:pgNumType w:start="41"/>
          <w:cols w:space="720" w:num="1"/>
          <w:titlePg/>
          <w:rtlGutter w:val="0"/>
          <w:docGrid w:linePitch="360" w:charSpace="0"/>
        </w:sectPr>
      </w:pPr>
      <w:bookmarkStart w:id="33" w:name="bookmark89"/>
      <w:bookmarkEnd w:id="33"/>
      <w:r>
        <w:rPr>
          <w:color w:val="000000"/>
          <w:spacing w:val="0"/>
          <w:w w:val="100"/>
          <w:position w:val="0"/>
        </w:rPr>
        <w:t>—般公共服务支出</w:t>
      </w:r>
      <w:r>
        <w:rPr>
          <w:color w:val="000000"/>
          <w:spacing w:val="0"/>
          <w:w w:val="100"/>
          <w:position w:val="0"/>
          <w:lang w:val="zh-CN" w:eastAsia="zh-CN" w:bidi="zh-CN"/>
        </w:rPr>
        <w:t>（类）</w:t>
      </w:r>
      <w:r>
        <w:rPr>
          <w:color w:val="000000"/>
          <w:spacing w:val="0"/>
          <w:w w:val="100"/>
          <w:position w:val="0"/>
        </w:rPr>
        <w:t>党委办公厅（室））及相关机构事务（款）行政运行（项）：：反映行政单位（包括实行公务员管</w:t>
      </w:r>
    </w:p>
    <w:p>
      <w:pPr>
        <w:pStyle w:val="11"/>
        <w:keepNext w:val="0"/>
        <w:keepLines w:val="0"/>
        <w:widowControl w:val="0"/>
        <w:shd w:val="clear" w:color="auto" w:fill="auto"/>
        <w:bidi w:val="0"/>
        <w:spacing w:before="0" w:after="0" w:line="604" w:lineRule="exact"/>
        <w:ind w:left="0" w:right="0" w:firstLine="520"/>
        <w:jc w:val="left"/>
      </w:pPr>
      <w:r>
        <w:rPr>
          <w:color w:val="000000"/>
          <w:spacing w:val="0"/>
          <w:w w:val="100"/>
          <w:position w:val="0"/>
        </w:rPr>
        <w:t>理的事业单位）的基本</w:t>
      </w:r>
      <w:r>
        <w:rPr>
          <w:color w:val="000000"/>
          <w:spacing w:val="0"/>
          <w:w w:val="100"/>
          <w:position w:val="0"/>
          <w:lang w:val="zh-CN" w:eastAsia="zh-CN" w:bidi="zh-CN"/>
        </w:rPr>
        <w:t>支出.</w:t>
      </w:r>
    </w:p>
    <w:p>
      <w:pPr>
        <w:pStyle w:val="11"/>
        <w:keepNext w:val="0"/>
        <w:keepLines w:val="0"/>
        <w:widowControl w:val="0"/>
        <w:numPr>
          <w:ilvl w:val="0"/>
          <w:numId w:val="1"/>
        </w:numPr>
        <w:shd w:val="clear" w:color="auto" w:fill="auto"/>
        <w:tabs>
          <w:tab w:val="left" w:pos="1660"/>
        </w:tabs>
        <w:bidi w:val="0"/>
        <w:spacing w:before="0" w:after="0" w:line="604" w:lineRule="exact"/>
        <w:ind w:left="520" w:right="0" w:firstLine="620"/>
        <w:jc w:val="both"/>
      </w:pPr>
      <w:bookmarkStart w:id="34" w:name="bookmark90"/>
      <w:bookmarkEnd w:id="34"/>
      <w:r>
        <w:rPr>
          <w:color w:val="000000"/>
          <w:spacing w:val="0"/>
          <w:w w:val="100"/>
          <w:position w:val="0"/>
          <w:sz w:val="26"/>
          <w:szCs w:val="26"/>
        </w:rPr>
        <w:t>一般公共服务支出（类））党委办公厅</w:t>
      </w:r>
      <w:r>
        <w:rPr>
          <w:color w:val="000000"/>
          <w:spacing w:val="0"/>
          <w:w w:val="100"/>
          <w:position w:val="0"/>
          <w:sz w:val="26"/>
          <w:szCs w:val="26"/>
          <w:lang w:val="zh-CN" w:eastAsia="zh-CN" w:bidi="zh-CN"/>
        </w:rPr>
        <w:t>（室）</w:t>
      </w:r>
      <w:r>
        <w:rPr>
          <w:color w:val="000000"/>
          <w:spacing w:val="0"/>
          <w:w w:val="100"/>
          <w:position w:val="0"/>
          <w:sz w:val="26"/>
          <w:szCs w:val="26"/>
        </w:rPr>
        <w:t>及相关机构</w:t>
      </w:r>
      <w:r>
        <w:rPr>
          <w:color w:val="000000"/>
          <w:spacing w:val="0"/>
          <w:w w:val="100"/>
          <w:position w:val="0"/>
        </w:rPr>
        <w:t>事务（款）一般行政管理事务（项）:反映行政单位（包括实行公务员管理的事业单位），未单独设置项级科目的其他项目</w:t>
      </w:r>
      <w:r>
        <w:rPr>
          <w:color w:val="000000"/>
          <w:spacing w:val="0"/>
          <w:w w:val="100"/>
          <w:position w:val="0"/>
          <w:lang w:val="zh-CN" w:eastAsia="zh-CN" w:bidi="zh-CN"/>
        </w:rPr>
        <w:t>支出.</w:t>
      </w:r>
    </w:p>
    <w:p>
      <w:pPr>
        <w:pStyle w:val="11"/>
        <w:keepNext w:val="0"/>
        <w:keepLines w:val="0"/>
        <w:widowControl w:val="0"/>
        <w:numPr>
          <w:ilvl w:val="0"/>
          <w:numId w:val="1"/>
        </w:numPr>
        <w:shd w:val="clear" w:color="auto" w:fill="auto"/>
        <w:tabs>
          <w:tab w:val="left" w:pos="1723"/>
        </w:tabs>
        <w:bidi w:val="0"/>
        <w:spacing w:before="0" w:after="0" w:line="604" w:lineRule="exact"/>
        <w:ind w:left="520" w:right="0" w:firstLine="620"/>
        <w:jc w:val="both"/>
      </w:pPr>
      <w:bookmarkStart w:id="35" w:name="bookmark91"/>
      <w:bookmarkEnd w:id="35"/>
      <w:r>
        <w:rPr>
          <w:color w:val="000000"/>
          <w:spacing w:val="0"/>
          <w:w w:val="100"/>
          <w:position w:val="0"/>
        </w:rPr>
        <w:t>一般公共服务支出（类）</w:t>
      </w:r>
      <w:r>
        <w:rPr>
          <w:color w:val="010066"/>
          <w:spacing w:val="0"/>
          <w:w w:val="100"/>
          <w:position w:val="0"/>
        </w:rPr>
        <w:t>，</w:t>
      </w:r>
      <w:r>
        <w:rPr>
          <w:color w:val="000000"/>
          <w:spacing w:val="0"/>
          <w:w w:val="100"/>
          <w:position w:val="0"/>
        </w:rPr>
        <w:t>党委办公厅（室））及相关机构</w:t>
      </w:r>
      <w:r>
        <w:rPr>
          <w:color w:val="000000"/>
          <w:spacing w:val="0"/>
          <w:w w:val="100"/>
          <w:position w:val="0"/>
          <w:sz w:val="26"/>
          <w:szCs w:val="26"/>
        </w:rPr>
        <w:t>事务（款）机关服务（项））：：反映为行政单位（包括实行公务员</w:t>
      </w:r>
      <w:r>
        <w:rPr>
          <w:color w:val="000000"/>
          <w:spacing w:val="0"/>
          <w:w w:val="100"/>
          <w:position w:val="0"/>
        </w:rPr>
        <w:t>管理的事业单位），提供后勤服务的各类后期服务中心、医务室等附属事业单位的支出。</w:t>
      </w:r>
    </w:p>
    <w:p>
      <w:pPr>
        <w:pStyle w:val="11"/>
        <w:keepNext w:val="0"/>
        <w:keepLines w:val="0"/>
        <w:widowControl w:val="0"/>
        <w:numPr>
          <w:ilvl w:val="0"/>
          <w:numId w:val="1"/>
        </w:numPr>
        <w:shd w:val="clear" w:color="auto" w:fill="auto"/>
        <w:tabs>
          <w:tab w:val="left" w:pos="1733"/>
        </w:tabs>
        <w:bidi w:val="0"/>
        <w:spacing w:before="0" w:after="0" w:line="604" w:lineRule="exact"/>
        <w:ind w:left="520" w:right="0" w:firstLine="620"/>
        <w:jc w:val="both"/>
      </w:pPr>
      <w:bookmarkStart w:id="36" w:name="bookmark92"/>
      <w:bookmarkEnd w:id="36"/>
      <w:r>
        <w:rPr>
          <w:color w:val="000000"/>
          <w:spacing w:val="0"/>
          <w:w w:val="100"/>
          <w:position w:val="0"/>
        </w:rPr>
        <w:t>一般公共服务支出（类））党委办公厅（室））及相关机构事务（款）</w:t>
      </w:r>
      <w:r>
        <w:rPr>
          <w:color w:val="000000"/>
          <w:spacing w:val="0"/>
          <w:w w:val="100"/>
          <w:position w:val="0"/>
          <w:lang w:val="en-US" w:eastAsia="en-US" w:bidi="en-US"/>
        </w:rPr>
        <w:t>｝</w:t>
      </w:r>
      <w:r>
        <w:rPr>
          <w:color w:val="000000"/>
          <w:spacing w:val="0"/>
          <w:w w:val="100"/>
          <w:position w:val="0"/>
        </w:rPr>
        <w:t>专项业务（项））：：反映党委办公厅（室）</w:t>
      </w:r>
      <w:r>
        <w:rPr>
          <w:color w:val="000000"/>
          <w:spacing w:val="0"/>
          <w:w w:val="100"/>
          <w:position w:val="0"/>
          <w:lang w:val="en-US" w:eastAsia="en-US" w:bidi="en-US"/>
        </w:rPr>
        <w:t>｝</w:t>
      </w:r>
      <w:r>
        <w:rPr>
          <w:color w:val="000000"/>
          <w:spacing w:val="0"/>
          <w:w w:val="100"/>
          <w:position w:val="0"/>
        </w:rPr>
        <w:t>及相关机构开展专项业务活动所发生的支出。</w:t>
      </w:r>
    </w:p>
    <w:p>
      <w:pPr>
        <w:pStyle w:val="11"/>
        <w:keepNext w:val="0"/>
        <w:keepLines w:val="0"/>
        <w:widowControl w:val="0"/>
        <w:numPr>
          <w:ilvl w:val="0"/>
          <w:numId w:val="1"/>
        </w:numPr>
        <w:shd w:val="clear" w:color="auto" w:fill="auto"/>
        <w:tabs>
          <w:tab w:val="left" w:pos="1733"/>
        </w:tabs>
        <w:bidi w:val="0"/>
        <w:spacing w:before="0" w:after="0" w:line="604" w:lineRule="exact"/>
        <w:ind w:left="520" w:right="0" w:firstLine="620"/>
        <w:jc w:val="both"/>
      </w:pPr>
      <w:bookmarkStart w:id="37" w:name="bookmark93"/>
      <w:bookmarkEnd w:id="37"/>
      <w:r>
        <w:rPr>
          <w:color w:val="000000"/>
          <w:spacing w:val="0"/>
          <w:w w:val="100"/>
          <w:position w:val="0"/>
        </w:rPr>
        <w:t>一般公共服务支出（类））党委办公厅（室）</w:t>
      </w:r>
      <w:r>
        <w:rPr>
          <w:color w:val="000000"/>
          <w:spacing w:val="0"/>
          <w:w w:val="100"/>
          <w:position w:val="0"/>
          <w:lang w:val="en-US" w:eastAsia="en-US" w:bidi="en-US"/>
        </w:rPr>
        <w:t>｝</w:t>
      </w:r>
      <w:r>
        <w:rPr>
          <w:color w:val="000000"/>
          <w:spacing w:val="0"/>
          <w:w w:val="100"/>
          <w:position w:val="0"/>
        </w:rPr>
        <w:t>及相关机构事务（款））事业运行（项）</w:t>
      </w:r>
      <w:r>
        <w:rPr>
          <w:color w:val="010066"/>
          <w:spacing w:val="0"/>
          <w:w w:val="100"/>
          <w:position w:val="0"/>
        </w:rPr>
        <w:t>，</w:t>
      </w:r>
      <w:r>
        <w:rPr>
          <w:color w:val="000000"/>
          <w:spacing w:val="0"/>
          <w:w w:val="100"/>
          <w:position w:val="0"/>
        </w:rPr>
        <w:t>:反映事业单位的基本支出.</w:t>
      </w:r>
    </w:p>
    <w:p>
      <w:pPr>
        <w:pStyle w:val="11"/>
        <w:keepNext w:val="0"/>
        <w:keepLines w:val="0"/>
        <w:widowControl w:val="0"/>
        <w:numPr>
          <w:ilvl w:val="0"/>
          <w:numId w:val="1"/>
        </w:numPr>
        <w:shd w:val="clear" w:color="auto" w:fill="auto"/>
        <w:tabs>
          <w:tab w:val="left" w:pos="1733"/>
        </w:tabs>
        <w:bidi w:val="0"/>
        <w:spacing w:before="0" w:after="0" w:line="604" w:lineRule="exact"/>
        <w:ind w:left="520" w:right="0" w:firstLine="620"/>
        <w:jc w:val="both"/>
      </w:pPr>
      <w:bookmarkStart w:id="38" w:name="bookmark94"/>
      <w:bookmarkEnd w:id="38"/>
      <w:r>
        <w:rPr>
          <w:color w:val="000000"/>
          <w:spacing w:val="0"/>
          <w:w w:val="100"/>
          <w:position w:val="0"/>
        </w:rPr>
        <w:t>一般公共服务支出</w:t>
      </w:r>
      <w:r>
        <w:rPr>
          <w:color w:val="000000"/>
          <w:spacing w:val="0"/>
          <w:w w:val="100"/>
          <w:position w:val="0"/>
          <w:lang w:val="zh-CN" w:eastAsia="zh-CN" w:bidi="zh-CN"/>
        </w:rPr>
        <w:t>（类）</w:t>
      </w:r>
      <w:r>
        <w:rPr>
          <w:color w:val="000000"/>
          <w:spacing w:val="0"/>
          <w:w w:val="100"/>
          <w:position w:val="0"/>
        </w:rPr>
        <w:t>党委办公厅（室））及相关机构事务（款）其他党委办公厅（室）及相关机构事务支出（项），：反映其他用于党委办公厅（室）及相关机构事务</w:t>
      </w:r>
      <w:r>
        <w:rPr>
          <w:color w:val="000000"/>
          <w:spacing w:val="0"/>
          <w:w w:val="100"/>
          <w:position w:val="0"/>
          <w:lang w:val="zh-CN" w:eastAsia="zh-CN" w:bidi="zh-CN"/>
        </w:rPr>
        <w:t>支出.</w:t>
      </w:r>
    </w:p>
    <w:p>
      <w:pPr>
        <w:pStyle w:val="11"/>
        <w:keepNext w:val="0"/>
        <w:keepLines w:val="0"/>
        <w:widowControl w:val="0"/>
        <w:numPr>
          <w:ilvl w:val="0"/>
          <w:numId w:val="1"/>
        </w:numPr>
        <w:shd w:val="clear" w:color="auto" w:fill="auto"/>
        <w:tabs>
          <w:tab w:val="left" w:pos="1738"/>
        </w:tabs>
        <w:bidi w:val="0"/>
        <w:spacing w:before="0" w:after="0" w:line="629" w:lineRule="exact"/>
        <w:ind w:left="520" w:right="0" w:firstLine="620"/>
        <w:jc w:val="both"/>
      </w:pPr>
      <w:bookmarkStart w:id="39" w:name="bookmark95"/>
      <w:bookmarkEnd w:id="39"/>
      <w:r>
        <w:rPr>
          <w:color w:val="000000"/>
          <w:spacing w:val="0"/>
          <w:w w:val="100"/>
          <w:position w:val="0"/>
        </w:rPr>
        <w:t>教育支出（类））普通教育（款），学前教育（项））：：反映各部门举办的学前教育支出。</w:t>
      </w:r>
    </w:p>
    <w:p>
      <w:pPr>
        <w:pStyle w:val="11"/>
        <w:keepNext w:val="0"/>
        <w:keepLines w:val="0"/>
        <w:widowControl w:val="0"/>
        <w:numPr>
          <w:ilvl w:val="0"/>
          <w:numId w:val="1"/>
        </w:numPr>
        <w:shd w:val="clear" w:color="auto" w:fill="auto"/>
        <w:tabs>
          <w:tab w:val="left" w:pos="1747"/>
        </w:tabs>
        <w:bidi w:val="0"/>
        <w:spacing w:before="0" w:after="0" w:line="614" w:lineRule="exact"/>
        <w:ind w:left="520" w:right="0" w:firstLine="620"/>
        <w:jc w:val="both"/>
      </w:pPr>
      <w:bookmarkStart w:id="40" w:name="bookmark96"/>
      <w:bookmarkEnd w:id="40"/>
      <w:r>
        <w:rPr>
          <w:color w:val="000000"/>
          <w:spacing w:val="0"/>
          <w:w w:val="100"/>
          <w:position w:val="0"/>
        </w:rPr>
        <w:t>教育支出（类）进修及培训（款）培训支出（项），：反映各部门安排的用于培训的支出。</w:t>
      </w:r>
    </w:p>
    <w:p>
      <w:pPr>
        <w:pStyle w:val="11"/>
        <w:keepNext w:val="0"/>
        <w:keepLines w:val="0"/>
        <w:widowControl w:val="0"/>
        <w:numPr>
          <w:ilvl w:val="0"/>
          <w:numId w:val="1"/>
        </w:numPr>
        <w:shd w:val="clear" w:color="auto" w:fill="auto"/>
        <w:tabs>
          <w:tab w:val="left" w:pos="1748"/>
        </w:tabs>
        <w:bidi w:val="0"/>
        <w:spacing w:before="0" w:after="0" w:line="604" w:lineRule="exact"/>
        <w:ind w:left="1140" w:right="0" w:firstLine="0"/>
        <w:jc w:val="both"/>
      </w:pPr>
      <w:bookmarkStart w:id="41" w:name="bookmark97"/>
      <w:bookmarkEnd w:id="41"/>
      <w:r>
        <w:rPr>
          <w:color w:val="000000"/>
          <w:spacing w:val="0"/>
          <w:w w:val="100"/>
          <w:position w:val="0"/>
        </w:rPr>
        <w:t>社会保障和就业支出（类））行政事业单位养老支出（款）行政单位离退休（项</w:t>
      </w:r>
      <w:r>
        <w:rPr>
          <w:color w:val="000000"/>
          <w:spacing w:val="0"/>
          <w:w w:val="100"/>
          <w:position w:val="0"/>
          <w:lang w:val="zh-CN" w:eastAsia="zh-CN" w:bidi="zh-CN"/>
        </w:rPr>
        <w:t>））：</w:t>
      </w:r>
      <w:r>
        <w:rPr>
          <w:color w:val="000000"/>
          <w:spacing w:val="0"/>
          <w:w w:val="100"/>
          <w:position w:val="0"/>
        </w:rPr>
        <w:t>反映行政单位（包括实行公务员管理的事业单位）开支的离退休</w:t>
      </w:r>
      <w:r>
        <w:rPr>
          <w:color w:val="000000"/>
          <w:spacing w:val="0"/>
          <w:w w:val="100"/>
          <w:position w:val="0"/>
          <w:lang w:val="zh-CN" w:eastAsia="zh-CN" w:bidi="zh-CN"/>
        </w:rPr>
        <w:t>经费.</w:t>
      </w:r>
    </w:p>
    <w:p>
      <w:pPr>
        <w:pStyle w:val="11"/>
        <w:keepNext w:val="0"/>
        <w:keepLines w:val="0"/>
        <w:widowControl w:val="0"/>
        <w:numPr>
          <w:ilvl w:val="0"/>
          <w:numId w:val="1"/>
        </w:numPr>
        <w:shd w:val="clear" w:color="auto" w:fill="auto"/>
        <w:tabs>
          <w:tab w:val="left" w:pos="1743"/>
        </w:tabs>
        <w:bidi w:val="0"/>
        <w:spacing w:before="0" w:after="0" w:line="605" w:lineRule="exact"/>
        <w:ind w:left="540" w:right="0" w:firstLine="620"/>
        <w:jc w:val="both"/>
      </w:pPr>
      <w:bookmarkStart w:id="42" w:name="bookmark98"/>
      <w:bookmarkEnd w:id="42"/>
      <w:r>
        <w:rPr>
          <w:color w:val="000000"/>
          <w:spacing w:val="0"/>
          <w:w w:val="100"/>
          <w:position w:val="0"/>
        </w:rPr>
        <w:t>社会保障和就业支出（类），行政事业单位养老支出（款）机关事业单位基本养老保险缴费支出（项））</w:t>
      </w:r>
      <w:r>
        <w:rPr>
          <w:color w:val="000000"/>
          <w:spacing w:val="0"/>
          <w:w w:val="100"/>
          <w:position w:val="0"/>
          <w:lang w:val="zh-CN" w:eastAsia="zh-CN" w:bidi="zh-CN"/>
        </w:rPr>
        <w:t>:</w:t>
      </w:r>
      <w:r>
        <w:rPr>
          <w:color w:val="000000"/>
          <w:spacing w:val="0"/>
          <w:w w:val="100"/>
          <w:position w:val="0"/>
        </w:rPr>
        <w:t>反映机关事业单位实施养老保险制度由单位缴纳的基本养老保险费支出。</w:t>
      </w:r>
    </w:p>
    <w:p>
      <w:pPr>
        <w:pStyle w:val="11"/>
        <w:keepNext w:val="0"/>
        <w:keepLines w:val="0"/>
        <w:widowControl w:val="0"/>
        <w:numPr>
          <w:ilvl w:val="0"/>
          <w:numId w:val="1"/>
        </w:numPr>
        <w:shd w:val="clear" w:color="auto" w:fill="auto"/>
        <w:tabs>
          <w:tab w:val="left" w:pos="1743"/>
        </w:tabs>
        <w:bidi w:val="0"/>
        <w:spacing w:before="0" w:after="0" w:line="605" w:lineRule="exact"/>
        <w:ind w:left="540" w:right="0" w:firstLine="620"/>
        <w:jc w:val="both"/>
      </w:pPr>
      <w:bookmarkStart w:id="43" w:name="bookmark99"/>
      <w:bookmarkEnd w:id="43"/>
      <w:r>
        <w:rPr>
          <w:color w:val="000000"/>
          <w:spacing w:val="0"/>
          <w:w w:val="100"/>
          <w:position w:val="0"/>
        </w:rPr>
        <w:t>社会保障和就业支出（类）行政事业单位养老支出（款）机关事业单位职业年金缴费支出（项），：反映机关事业单位实施养老保险制度由单位实际缴纳的职业年金支出。</w:t>
      </w:r>
    </w:p>
    <w:p>
      <w:pPr>
        <w:pStyle w:val="11"/>
        <w:keepNext w:val="0"/>
        <w:keepLines w:val="0"/>
        <w:widowControl w:val="0"/>
        <w:numPr>
          <w:ilvl w:val="0"/>
          <w:numId w:val="1"/>
        </w:numPr>
        <w:shd w:val="clear" w:color="auto" w:fill="auto"/>
        <w:tabs>
          <w:tab w:val="left" w:pos="1738"/>
        </w:tabs>
        <w:bidi w:val="0"/>
        <w:spacing w:before="0" w:after="0" w:line="605" w:lineRule="exact"/>
        <w:ind w:left="540" w:right="0" w:firstLine="620"/>
        <w:jc w:val="both"/>
      </w:pPr>
      <w:bookmarkStart w:id="44" w:name="bookmark100"/>
      <w:bookmarkEnd w:id="44"/>
      <w:r>
        <w:rPr>
          <w:color w:val="000000"/>
          <w:spacing w:val="0"/>
          <w:w w:val="100"/>
          <w:position w:val="0"/>
        </w:rPr>
        <w:t>卫生健康支出（类）行政事业单位医疗（款））行政单位医疗（项）:反映财政部安排的行政单位（包括实行公务员管理的事业单位）</w:t>
      </w:r>
      <w:r>
        <w:rPr>
          <w:color w:val="000000"/>
          <w:spacing w:val="0"/>
          <w:w w:val="100"/>
          <w:position w:val="0"/>
          <w:lang w:val="zh-CN" w:eastAsia="zh-CN" w:bidi="zh-CN"/>
        </w:rPr>
        <w:t>|</w:t>
      </w:r>
      <w:r>
        <w:rPr>
          <w:color w:val="000000"/>
          <w:spacing w:val="0"/>
          <w:w w:val="100"/>
          <w:position w:val="0"/>
        </w:rPr>
        <w:t>基本医疗保险缴费经费.</w:t>
      </w:r>
    </w:p>
    <w:p>
      <w:pPr>
        <w:pStyle w:val="11"/>
        <w:keepNext w:val="0"/>
        <w:keepLines w:val="0"/>
        <w:widowControl w:val="0"/>
        <w:numPr>
          <w:ilvl w:val="0"/>
          <w:numId w:val="1"/>
        </w:numPr>
        <w:shd w:val="clear" w:color="auto" w:fill="auto"/>
        <w:tabs>
          <w:tab w:val="left" w:pos="1734"/>
        </w:tabs>
        <w:bidi w:val="0"/>
        <w:spacing w:before="0" w:after="0" w:line="605" w:lineRule="exact"/>
        <w:ind w:left="540" w:right="0" w:firstLine="620"/>
        <w:jc w:val="both"/>
      </w:pPr>
      <w:bookmarkStart w:id="45" w:name="bookmark101"/>
      <w:bookmarkEnd w:id="45"/>
      <w:r>
        <w:rPr>
          <w:color w:val="000000"/>
          <w:spacing w:val="0"/>
          <w:w w:val="100"/>
          <w:position w:val="0"/>
        </w:rPr>
        <w:t>卫生健康支出（类）行政事业单位医疗（款））事业单位医疗（项））::反映财政部安排的事业单位基本医疗保险缴费经费.</w:t>
      </w:r>
    </w:p>
    <w:p>
      <w:pPr>
        <w:pStyle w:val="11"/>
        <w:keepNext w:val="0"/>
        <w:keepLines w:val="0"/>
        <w:widowControl w:val="0"/>
        <w:numPr>
          <w:ilvl w:val="0"/>
          <w:numId w:val="1"/>
        </w:numPr>
        <w:shd w:val="clear" w:color="auto" w:fill="auto"/>
        <w:tabs>
          <w:tab w:val="left" w:pos="1767"/>
        </w:tabs>
        <w:bidi w:val="0"/>
        <w:spacing w:before="0" w:after="0" w:line="624" w:lineRule="exact"/>
        <w:ind w:left="540" w:right="0" w:firstLine="620"/>
        <w:jc w:val="both"/>
      </w:pPr>
      <w:bookmarkStart w:id="46" w:name="bookmark102"/>
      <w:bookmarkEnd w:id="46"/>
      <w:r>
        <w:rPr>
          <w:color w:val="000000"/>
          <w:spacing w:val="0"/>
          <w:w w:val="100"/>
          <w:position w:val="0"/>
        </w:rPr>
        <w:t>卫生健康支出（类）行政事业单位医疗（款））公务员医疗补助（项））：：反映财政部安排的公务员医疗补助</w:t>
      </w:r>
      <w:r>
        <w:rPr>
          <w:color w:val="000000"/>
          <w:spacing w:val="0"/>
          <w:w w:val="100"/>
          <w:position w:val="0"/>
          <w:lang w:val="zh-CN" w:eastAsia="zh-CN" w:bidi="zh-CN"/>
        </w:rPr>
        <w:t>经费.</w:t>
      </w:r>
    </w:p>
    <w:p>
      <w:pPr>
        <w:pStyle w:val="11"/>
        <w:keepNext w:val="0"/>
        <w:keepLines w:val="0"/>
        <w:widowControl w:val="0"/>
        <w:numPr>
          <w:ilvl w:val="0"/>
          <w:numId w:val="1"/>
        </w:numPr>
        <w:shd w:val="clear" w:color="auto" w:fill="auto"/>
        <w:tabs>
          <w:tab w:val="left" w:pos="1753"/>
        </w:tabs>
        <w:bidi w:val="0"/>
        <w:spacing w:before="0" w:after="0" w:line="571" w:lineRule="exact"/>
        <w:ind w:left="540" w:right="0" w:firstLine="620"/>
        <w:jc w:val="both"/>
      </w:pPr>
      <w:bookmarkStart w:id="47" w:name="bookmark103"/>
      <w:bookmarkEnd w:id="47"/>
      <w:r>
        <w:rPr>
          <w:color w:val="000000"/>
          <w:spacing w:val="0"/>
          <w:w w:val="100"/>
          <w:position w:val="0"/>
        </w:rPr>
        <w:t>住房保障支出（类）住房改革支出（款）住房公积金（项）：反映行政事业单位按人力资源和社会保障部、财政部规定的基本工资和津贴补贴以及规定比例为职工缴纳的住房公积金。</w:t>
      </w:r>
    </w:p>
    <w:p>
      <w:pPr>
        <w:pStyle w:val="11"/>
        <w:keepNext w:val="0"/>
        <w:keepLines w:val="0"/>
        <w:widowControl w:val="0"/>
        <w:numPr>
          <w:ilvl w:val="0"/>
          <w:numId w:val="1"/>
        </w:numPr>
        <w:shd w:val="clear" w:color="auto" w:fill="auto"/>
        <w:tabs>
          <w:tab w:val="left" w:pos="1762"/>
        </w:tabs>
        <w:bidi w:val="0"/>
        <w:spacing w:before="0" w:after="0" w:line="600" w:lineRule="exact"/>
        <w:ind w:left="540" w:right="0" w:firstLine="620"/>
        <w:jc w:val="both"/>
      </w:pPr>
      <w:bookmarkStart w:id="48" w:name="bookmark104"/>
      <w:bookmarkEnd w:id="48"/>
      <w:r>
        <w:rPr>
          <w:color w:val="000000"/>
          <w:spacing w:val="0"/>
          <w:w w:val="100"/>
          <w:position w:val="0"/>
        </w:rPr>
        <w:t>住房保障支出</w:t>
      </w:r>
      <w:r>
        <w:rPr>
          <w:color w:val="000000"/>
          <w:spacing w:val="0"/>
          <w:w w:val="100"/>
          <w:position w:val="0"/>
          <w:lang w:val="zh-CN" w:eastAsia="zh-CN" w:bidi="zh-CN"/>
        </w:rPr>
        <w:t>（类）</w:t>
      </w:r>
      <w:r>
        <w:rPr>
          <w:color w:val="000000"/>
          <w:spacing w:val="0"/>
          <w:w w:val="100"/>
          <w:position w:val="0"/>
        </w:rPr>
        <w:t>住房改革支出（款），购房补贴（项）：反映按房改政策规定的标准，行政事业单位向符合条件职工发放的用于购买住房的补贴。</w:t>
      </w:r>
    </w:p>
    <w:sectPr>
      <w:headerReference r:id="rId43" w:type="default"/>
      <w:footerReference r:id="rId45" w:type="default"/>
      <w:headerReference r:id="rId44" w:type="even"/>
      <w:footerReference r:id="rId46" w:type="even"/>
      <w:footnotePr>
        <w:numFmt w:val="decimal"/>
      </w:footnotePr>
      <w:type w:val="continuous"/>
      <w:pgSz w:w="11900" w:h="16840"/>
      <w:pgMar w:top="1920" w:right="1111" w:bottom="2087" w:left="1073"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6166485</wp:posOffset>
              </wp:positionH>
              <wp:positionV relativeFrom="page">
                <wp:posOffset>9580245</wp:posOffset>
              </wp:positionV>
              <wp:extent cx="76200" cy="94615"/>
              <wp:effectExtent l="0" t="0" r="0" b="0"/>
              <wp:wrapNone/>
              <wp:docPr id="1" name="Shape 1"/>
              <wp:cNvGraphicFramePr/>
              <a:graphic xmlns:a="http://schemas.openxmlformats.org/drawingml/2006/main">
                <a:graphicData uri="http://schemas.microsoft.com/office/word/2010/wordprocessingShape">
                  <wps:wsp>
                    <wps:cNvSpPr txBox="1"/>
                    <wps:spPr>
                      <a:xfrm>
                        <a:off x="0" y="0"/>
                        <a:ext cx="76200" cy="94615"/>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1-</w:t>
                          </w:r>
                        </w:p>
                      </w:txbxContent>
                    </wps:txbx>
                    <wps:bodyPr wrap="none" lIns="0" tIns="0" rIns="0" bIns="0">
                      <a:spAutoFit/>
                    </wps:bodyPr>
                  </wps:wsp>
                </a:graphicData>
              </a:graphic>
            </wp:anchor>
          </w:drawing>
        </mc:Choice>
        <mc:Fallback>
          <w:pict>
            <v:shape id="Shape 1" o:spid="_x0000_s1026" o:spt="202" type="#_x0000_t202" style="position:absolute;left:0pt;margin-left:485.55pt;margin-top:754.35pt;height:7.45pt;width:6pt;mso-position-horizontal-relative:page;mso-position-vertical-relative:page;mso-wrap-style:none;z-index:-251657216;mso-width-relative:page;mso-height-relative:page;" filled="f" stroked="f" coordsize="21600,21600" o:gfxdata="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ggCatgAAAAN&#10;AQAADwAAAAAAAAABACAAAAAiAAAAZHJzL2Rvd25yZXYueG1sUEsBAhQAFAAAAAgAh07iQP5STTCq&#10;AQAAbQMAAA4AAAAAAAAAAQAgAAAAJwEAAGRycy9lMm9Eb2MueG1sUEsFBgAAAAAGAAYAWQEAAEMF&#10;A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1-</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1323975</wp:posOffset>
              </wp:positionH>
              <wp:positionV relativeFrom="page">
                <wp:posOffset>9576435</wp:posOffset>
              </wp:positionV>
              <wp:extent cx="91440" cy="94615"/>
              <wp:effectExtent l="0" t="0" r="0" b="0"/>
              <wp:wrapNone/>
              <wp:docPr id="19" name="Shape 19"/>
              <wp:cNvGraphicFramePr/>
              <a:graphic xmlns:a="http://schemas.openxmlformats.org/drawingml/2006/main">
                <a:graphicData uri="http://schemas.microsoft.com/office/word/2010/wordprocessingShape">
                  <wps:wsp>
                    <wps:cNvSpPr txBox="1"/>
                    <wps:spPr>
                      <a:xfrm>
                        <a:off x="0" y="0"/>
                        <a:ext cx="91440" cy="94615"/>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6</w:t>
                          </w:r>
                        </w:p>
                      </w:txbxContent>
                    </wps:txbx>
                    <wps:bodyPr wrap="none" lIns="0" tIns="0" rIns="0" bIns="0">
                      <a:spAutoFit/>
                    </wps:bodyPr>
                  </wps:wsp>
                </a:graphicData>
              </a:graphic>
            </wp:anchor>
          </w:drawing>
        </mc:Choice>
        <mc:Fallback>
          <w:pict>
            <v:shape id="Shape 19" o:spid="_x0000_s1026" o:spt="202" type="#_x0000_t202" style="position:absolute;left:0pt;margin-left:104.25pt;margin-top:754.05pt;height:7.45pt;width:7.2pt;mso-position-horizontal-relative:page;mso-position-vertical-relative:page;mso-wrap-style:none;z-index:-251657216;mso-width-relative:page;mso-height-relative:page;" filled="f" stroked="f" coordsize="21600,21600" o:gfxdata="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a80LtcAAAAN&#10;AQAADwAAAAAAAAABACAAAAAiAAAAZHJzL2Rvd25yZXYueG1sUEsBAhQAFAAAAAgAh07iQEze+vGr&#10;AQAAbwMAAA4AAAAAAAAAAQAgAAAAJgEAAGRycy9lMm9Eb2MueG1sUEsFBgAAAAAGAAYAWQEAAEMF&#10;A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6</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1323975</wp:posOffset>
              </wp:positionH>
              <wp:positionV relativeFrom="page">
                <wp:posOffset>9576435</wp:posOffset>
              </wp:positionV>
              <wp:extent cx="91440" cy="94615"/>
              <wp:effectExtent l="0" t="0" r="0" b="0"/>
              <wp:wrapNone/>
              <wp:docPr id="21" name="Shape 21"/>
              <wp:cNvGraphicFramePr/>
              <a:graphic xmlns:a="http://schemas.openxmlformats.org/drawingml/2006/main">
                <a:graphicData uri="http://schemas.microsoft.com/office/word/2010/wordprocessingShape">
                  <wps:wsp>
                    <wps:cNvSpPr txBox="1"/>
                    <wps:spPr>
                      <a:xfrm>
                        <a:off x="0" y="0"/>
                        <a:ext cx="91440" cy="94615"/>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6</w:t>
                          </w:r>
                        </w:p>
                      </w:txbxContent>
                    </wps:txbx>
                    <wps:bodyPr wrap="none" lIns="0" tIns="0" rIns="0" bIns="0">
                      <a:spAutoFit/>
                    </wps:bodyPr>
                  </wps:wsp>
                </a:graphicData>
              </a:graphic>
            </wp:anchor>
          </w:drawing>
        </mc:Choice>
        <mc:Fallback>
          <w:pict>
            <v:shape id="Shape 21" o:spid="_x0000_s1026" o:spt="202" type="#_x0000_t202" style="position:absolute;left:0pt;margin-left:104.25pt;margin-top:754.05pt;height:7.45pt;width:7.2pt;mso-position-horizontal-relative:page;mso-position-vertical-relative:page;mso-wrap-style:none;z-index:-251657216;mso-width-relative:page;mso-height-relative:page;" filled="f" stroked="f" coordsize="21600,21600" o:gfxdata="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mvNC7XAAAA&#10;DQEAAA8AAAAAAAAAAQAgAAAAIgAAAGRycy9kb3ducmV2LnhtbFBLAQIUABQAAAAIAIdO4kB7uReO&#10;rAEAAG8DAAAOAAAAAAAAAAEAIAAAACYBAABkcnMvZTJvRG9jLnhtbFBLBQYAAAAABgAGAFkBAABE&#10;BQ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6</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3760"/>
      <w:rPr>
        <w:rFonts w:ascii="宋体" w:hAnsi="宋体" w:eastAsia="宋体" w:cs="宋体"/>
        <w:sz w:val="28"/>
        <w:szCs w:val="28"/>
      </w:rPr>
    </w:pPr>
    <w:r>
      <w:rPr>
        <w:rFonts w:ascii="宋体" w:hAnsi="宋体" w:eastAsia="宋体" w:cs="宋体"/>
        <w:sz w:val="28"/>
        <w:szCs w:val="28"/>
      </w:rPr>
      <w:t>- 11 -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6587"/>
      <w:rPr>
        <w:rFonts w:ascii="宋体" w:hAnsi="宋体" w:eastAsia="宋体" w:cs="宋体"/>
        <w:sz w:val="28"/>
        <w:szCs w:val="28"/>
      </w:rPr>
    </w:pPr>
    <w:r>
      <w:rPr>
        <w:rFonts w:ascii="宋体" w:hAnsi="宋体" w:eastAsia="宋体" w:cs="宋体"/>
        <w:sz w:val="28"/>
        <w:szCs w:val="28"/>
      </w:rPr>
      <w:t>- 12 -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left="6587"/>
      <w:rPr>
        <w:rFonts w:ascii="宋体" w:hAnsi="宋体" w:eastAsia="宋体" w:cs="宋体"/>
        <w:sz w:val="28"/>
        <w:szCs w:val="28"/>
      </w:rPr>
    </w:pPr>
    <w:r>
      <w:rPr>
        <w:rFonts w:ascii="宋体" w:hAnsi="宋体" w:eastAsia="宋体" w:cs="宋体"/>
        <w:sz w:val="28"/>
        <w:szCs w:val="28"/>
      </w:rPr>
      <w:t>- 13 -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6587"/>
      <w:rPr>
        <w:rFonts w:ascii="宋体" w:hAnsi="宋体" w:eastAsia="宋体" w:cs="宋体"/>
        <w:sz w:val="28"/>
        <w:szCs w:val="28"/>
      </w:rPr>
    </w:pPr>
    <w:r>
      <w:rPr>
        <w:rFonts w:ascii="宋体" w:hAnsi="宋体" w:eastAsia="宋体" w:cs="宋体"/>
        <w:sz w:val="28"/>
        <w:szCs w:val="28"/>
      </w:rPr>
      <w:t>- 14 -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left="6587"/>
      <w:rPr>
        <w:rFonts w:ascii="宋体" w:hAnsi="宋体" w:eastAsia="宋体" w:cs="宋体"/>
        <w:sz w:val="28"/>
        <w:szCs w:val="28"/>
      </w:rPr>
    </w:pPr>
    <w:r>
      <w:rPr>
        <w:rFonts w:ascii="宋体" w:hAnsi="宋体" w:eastAsia="宋体" w:cs="宋体"/>
        <w:sz w:val="28"/>
        <w:szCs w:val="28"/>
      </w:rPr>
      <w:t>- 18 -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left="3760"/>
      <w:rPr>
        <w:rFonts w:ascii="宋体" w:hAnsi="宋体" w:eastAsia="宋体" w:cs="宋体"/>
        <w:sz w:val="28"/>
        <w:szCs w:val="28"/>
      </w:rPr>
    </w:pPr>
    <w:r>
      <w:rPr>
        <w:rFonts w:ascii="宋体" w:hAnsi="宋体" w:eastAsia="宋体" w:cs="宋体"/>
        <w:sz w:val="28"/>
        <w:szCs w:val="28"/>
      </w:rPr>
      <w:t>- 19 -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3760"/>
      <w:rPr>
        <w:rFonts w:ascii="宋体" w:hAnsi="宋体" w:eastAsia="宋体" w:cs="宋体"/>
        <w:sz w:val="28"/>
        <w:szCs w:val="28"/>
      </w:rPr>
    </w:pPr>
    <w:r>
      <w:rPr>
        <w:rFonts w:ascii="宋体" w:hAnsi="宋体" w:eastAsia="宋体" w:cs="宋体"/>
        <w:sz w:val="28"/>
        <w:szCs w:val="28"/>
      </w:rPr>
      <w:t>- 21 -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760"/>
      <w:rPr>
        <w:rFonts w:ascii="宋体" w:hAnsi="宋体" w:eastAsia="宋体" w:cs="宋体"/>
        <w:sz w:val="28"/>
        <w:szCs w:val="28"/>
      </w:rPr>
    </w:pPr>
    <w:r>
      <w:rPr>
        <w:rFonts w:ascii="宋体" w:hAnsi="宋体" w:eastAsia="宋体" w:cs="宋体"/>
        <w:sz w:val="28"/>
        <w:szCs w:val="28"/>
      </w:rPr>
      <w:t>- 23 -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6166485</wp:posOffset>
              </wp:positionH>
              <wp:positionV relativeFrom="page">
                <wp:posOffset>9580245</wp:posOffset>
              </wp:positionV>
              <wp:extent cx="76200" cy="94615"/>
              <wp:effectExtent l="0" t="0" r="0" b="0"/>
              <wp:wrapNone/>
              <wp:docPr id="3" name="Shape 3"/>
              <wp:cNvGraphicFramePr/>
              <a:graphic xmlns:a="http://schemas.openxmlformats.org/drawingml/2006/main">
                <a:graphicData uri="http://schemas.microsoft.com/office/word/2010/wordprocessingShape">
                  <wps:wsp>
                    <wps:cNvSpPr txBox="1"/>
                    <wps:spPr>
                      <a:xfrm>
                        <a:off x="0" y="0"/>
                        <a:ext cx="76200" cy="94615"/>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1-</w:t>
                          </w:r>
                        </w:p>
                      </w:txbxContent>
                    </wps:txbx>
                    <wps:bodyPr wrap="none" lIns="0" tIns="0" rIns="0" bIns="0">
                      <a:spAutoFit/>
                    </wps:bodyPr>
                  </wps:wsp>
                </a:graphicData>
              </a:graphic>
            </wp:anchor>
          </w:drawing>
        </mc:Choice>
        <mc:Fallback>
          <w:pict>
            <v:shape id="Shape 3" o:spid="_x0000_s1026" o:spt="202" type="#_x0000_t202" style="position:absolute;left:0pt;margin-left:485.55pt;margin-top:754.35pt;height:7.45pt;width:6pt;mso-position-horizontal-relative:page;mso-position-vertical-relative:page;mso-wrap-style:none;z-index:-251657216;mso-width-relative:page;mso-height-relative:page;" filled="f" stroked="f" coordsize="21600,21600" o:gfxdata="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4IAmrYAAAA&#10;DQEAAA8AAAAAAAAAAQAgAAAAIgAAAGRycy9kb3ducmV2LnhtbFBLAQIUABQAAAAIAIdO4kDS47MC&#10;qwEAAG0DAAAOAAAAAAAAAAEAIAAAACcBAABkcnMvZTJvRG9jLnhtbFBLBQYAAAAABgAGAFkBAABE&#10;BQ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1-</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3760"/>
      <w:rPr>
        <w:rFonts w:ascii="宋体" w:hAnsi="宋体" w:eastAsia="宋体" w:cs="宋体"/>
        <w:sz w:val="28"/>
        <w:szCs w:val="28"/>
      </w:rPr>
    </w:pPr>
    <w:r>
      <w:rPr>
        <w:rFonts w:ascii="宋体" w:hAnsi="宋体" w:eastAsia="宋体" w:cs="宋体"/>
        <w:sz w:val="28"/>
        <w:szCs w:val="28"/>
      </w:rPr>
      <w:t>- 24 -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760"/>
      <w:rPr>
        <w:rFonts w:ascii="宋体" w:hAnsi="宋体" w:eastAsia="宋体" w:cs="宋体"/>
        <w:sz w:val="28"/>
        <w:szCs w:val="28"/>
      </w:rPr>
    </w:pPr>
    <w:r>
      <w:rPr>
        <w:rFonts w:ascii="宋体" w:hAnsi="宋体" w:eastAsia="宋体" w:cs="宋体"/>
        <w:sz w:val="28"/>
        <w:szCs w:val="28"/>
      </w:rPr>
      <w:t>- 25 -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760"/>
      <w:rPr>
        <w:rFonts w:ascii="宋体" w:hAnsi="宋体" w:eastAsia="宋体" w:cs="宋体"/>
        <w:sz w:val="28"/>
        <w:szCs w:val="28"/>
      </w:rPr>
    </w:pPr>
    <w:r>
      <w:rPr>
        <w:rFonts w:ascii="宋体" w:hAnsi="宋体" w:eastAsia="宋体" w:cs="宋体"/>
        <w:sz w:val="28"/>
        <w:szCs w:val="28"/>
      </w:rPr>
      <w:t>- 26 -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760"/>
      <w:rPr>
        <w:rFonts w:ascii="宋体" w:hAnsi="宋体" w:eastAsia="宋体" w:cs="宋体"/>
        <w:sz w:val="28"/>
        <w:szCs w:val="28"/>
      </w:rPr>
    </w:pPr>
    <w:r>
      <w:rPr>
        <w:rFonts w:ascii="宋体" w:hAnsi="宋体" w:eastAsia="宋体" w:cs="宋体"/>
        <w:sz w:val="28"/>
        <w:szCs w:val="28"/>
      </w:rPr>
      <w:t>- 27 -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6587"/>
      <w:rPr>
        <w:rFonts w:ascii="宋体" w:hAnsi="宋体" w:eastAsia="宋体" w:cs="宋体"/>
        <w:sz w:val="28"/>
        <w:szCs w:val="28"/>
      </w:rPr>
    </w:pPr>
    <w:r>
      <w:rPr>
        <w:rFonts w:ascii="宋体" w:hAnsi="宋体" w:eastAsia="宋体" w:cs="宋体"/>
        <w:sz w:val="28"/>
        <w:szCs w:val="28"/>
      </w:rPr>
      <w:t>- 36 -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1209040</wp:posOffset>
              </wp:positionH>
              <wp:positionV relativeFrom="page">
                <wp:posOffset>9574530</wp:posOffset>
              </wp:positionV>
              <wp:extent cx="210185" cy="94615"/>
              <wp:effectExtent l="0" t="0" r="0" b="0"/>
              <wp:wrapNone/>
              <wp:docPr id="55" name="Shape 55"/>
              <wp:cNvGraphicFramePr/>
              <a:graphic xmlns:a="http://schemas.openxmlformats.org/drawingml/2006/main">
                <a:graphicData uri="http://schemas.microsoft.com/office/word/2010/wordprocessingShape">
                  <wps:wsp>
                    <wps:cNvSpPr txBox="1"/>
                    <wps:spPr>
                      <a:xfrm>
                        <a:off x="0" y="0"/>
                        <a:ext cx="210185" cy="94615"/>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rPr>
                              <w:sz w:val="22"/>
                              <w:szCs w:val="22"/>
                            </w:rPr>
                          </w:pPr>
                          <w:r>
                            <w:rPr>
                              <w:rFonts w:ascii="宋体" w:hAnsi="宋体" w:eastAsia="宋体" w:cs="宋体"/>
                              <w:color w:val="000000"/>
                              <w:spacing w:val="0"/>
                              <w:w w:val="100"/>
                              <w:position w:val="0"/>
                              <w:sz w:val="22"/>
                              <w:szCs w:val="22"/>
                              <w:lang w:val="en-US" w:eastAsia="en-US" w:bidi="en-US"/>
                            </w:rPr>
                            <w:t>—8</w:t>
                          </w:r>
                          <w:r>
                            <w:rPr>
                              <w:rFonts w:ascii="宋体" w:hAnsi="宋体" w:eastAsia="宋体" w:cs="宋体"/>
                              <w:color w:val="000000"/>
                              <w:spacing w:val="0"/>
                              <w:w w:val="100"/>
                              <w:position w:val="0"/>
                              <w:sz w:val="22"/>
                              <w:szCs w:val="22"/>
                            </w:rPr>
                            <w:t>-</w:t>
                          </w:r>
                        </w:p>
                      </w:txbxContent>
                    </wps:txbx>
                    <wps:bodyPr wrap="none" lIns="0" tIns="0" rIns="0" bIns="0">
                      <a:spAutoFit/>
                    </wps:bodyPr>
                  </wps:wsp>
                </a:graphicData>
              </a:graphic>
            </wp:anchor>
          </w:drawing>
        </mc:Choice>
        <mc:Fallback>
          <w:pict>
            <v:shape id="Shape 55" o:spid="_x0000_s1026" o:spt="202" type="#_x0000_t202" style="position:absolute;left:0pt;margin-left:95.2pt;margin-top:753.9pt;height:7.45pt;width:16.55pt;mso-position-horizontal-relative:page;mso-position-vertical-relative:page;mso-wrap-style:none;z-index:-251657216;mso-width-relative:page;mso-height-relative:page;" filled="f" stroked="f" coordsize="21600,21600" o:gfxdata="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2+4stgA&#10;AAANAQAADwAAAAAAAAABACAAAAAiAAAAZHJzL2Rvd25yZXYueG1sUEsBAhQAFAAAAAgAh07iQDiH&#10;8RqtAQAAcAMAAA4AAAAAAAAAAQAgAAAAJwEAAGRycy9lMm9Eb2MueG1sUEsFBgAAAAAGAAYAWQEA&#10;AEYFA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sz w:val="22"/>
                        <w:szCs w:val="22"/>
                      </w:rPr>
                    </w:pPr>
                    <w:r>
                      <w:rPr>
                        <w:rFonts w:ascii="宋体" w:hAnsi="宋体" w:eastAsia="宋体" w:cs="宋体"/>
                        <w:color w:val="000000"/>
                        <w:spacing w:val="0"/>
                        <w:w w:val="100"/>
                        <w:position w:val="0"/>
                        <w:sz w:val="22"/>
                        <w:szCs w:val="22"/>
                        <w:lang w:val="en-US" w:eastAsia="en-US" w:bidi="en-US"/>
                      </w:rPr>
                      <w:t>—8</w:t>
                    </w:r>
                    <w:r>
                      <w:rPr>
                        <w:rFonts w:ascii="宋体" w:hAnsi="宋体" w:eastAsia="宋体" w:cs="宋体"/>
                        <w:color w:val="000000"/>
                        <w:spacing w:val="0"/>
                        <w:w w:val="100"/>
                        <w:position w:val="0"/>
                        <w:sz w:val="22"/>
                        <w:szCs w:val="22"/>
                      </w:rPr>
                      <w:t>-</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1209040</wp:posOffset>
              </wp:positionH>
              <wp:positionV relativeFrom="page">
                <wp:posOffset>9574530</wp:posOffset>
              </wp:positionV>
              <wp:extent cx="210185" cy="94615"/>
              <wp:effectExtent l="0" t="0" r="0" b="0"/>
              <wp:wrapNone/>
              <wp:docPr id="57" name="Shape 57"/>
              <wp:cNvGraphicFramePr/>
              <a:graphic xmlns:a="http://schemas.openxmlformats.org/drawingml/2006/main">
                <a:graphicData uri="http://schemas.microsoft.com/office/word/2010/wordprocessingShape">
                  <wps:wsp>
                    <wps:cNvSpPr txBox="1"/>
                    <wps:spPr>
                      <a:xfrm>
                        <a:off x="0" y="0"/>
                        <a:ext cx="210185" cy="94615"/>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rPr>
                              <w:sz w:val="22"/>
                              <w:szCs w:val="22"/>
                            </w:rPr>
                          </w:pPr>
                          <w:r>
                            <w:rPr>
                              <w:rFonts w:ascii="宋体" w:hAnsi="宋体" w:eastAsia="宋体" w:cs="宋体"/>
                              <w:color w:val="000000"/>
                              <w:spacing w:val="0"/>
                              <w:w w:val="100"/>
                              <w:position w:val="0"/>
                              <w:sz w:val="22"/>
                              <w:szCs w:val="22"/>
                              <w:lang w:val="en-US" w:eastAsia="en-US" w:bidi="en-US"/>
                            </w:rPr>
                            <w:t>—8</w:t>
                          </w:r>
                          <w:r>
                            <w:rPr>
                              <w:rFonts w:ascii="宋体" w:hAnsi="宋体" w:eastAsia="宋体" w:cs="宋体"/>
                              <w:color w:val="000000"/>
                              <w:spacing w:val="0"/>
                              <w:w w:val="100"/>
                              <w:position w:val="0"/>
                              <w:sz w:val="22"/>
                              <w:szCs w:val="22"/>
                            </w:rPr>
                            <w:t>-</w:t>
                          </w:r>
                        </w:p>
                      </w:txbxContent>
                    </wps:txbx>
                    <wps:bodyPr wrap="none" lIns="0" tIns="0" rIns="0" bIns="0">
                      <a:spAutoFit/>
                    </wps:bodyPr>
                  </wps:wsp>
                </a:graphicData>
              </a:graphic>
            </wp:anchor>
          </w:drawing>
        </mc:Choice>
        <mc:Fallback>
          <w:pict>
            <v:shape id="Shape 57" o:spid="_x0000_s1026" o:spt="202" type="#_x0000_t202" style="position:absolute;left:0pt;margin-left:95.2pt;margin-top:753.9pt;height:7.45pt;width:16.55pt;mso-position-horizontal-relative:page;mso-position-vertical-relative:page;mso-wrap-style:none;z-index:-251657216;mso-width-relative:page;mso-height-relative:page;" filled="f" stroked="f" coordsize="21600,21600" o:gfxdata="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2+4stgA&#10;AAANAQAADwAAAAAAAAABACAAAAAiAAAAZHJzL2Rvd25yZXYueG1sUEsBAhQAFAAAAAgAh07iQEKl&#10;6A6tAQAAcAMAAA4AAAAAAAAAAQAgAAAAJwEAAGRycy9lMm9Eb2MueG1sUEsFBgAAAAAGAAYAWQEA&#10;AEYFA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sz w:val="22"/>
                        <w:szCs w:val="22"/>
                      </w:rPr>
                    </w:pPr>
                    <w:r>
                      <w:rPr>
                        <w:rFonts w:ascii="宋体" w:hAnsi="宋体" w:eastAsia="宋体" w:cs="宋体"/>
                        <w:color w:val="000000"/>
                        <w:spacing w:val="0"/>
                        <w:w w:val="100"/>
                        <w:position w:val="0"/>
                        <w:sz w:val="22"/>
                        <w:szCs w:val="22"/>
                        <w:lang w:val="en-US" w:eastAsia="en-US" w:bidi="en-US"/>
                      </w:rPr>
                      <w:t>—8</w:t>
                    </w:r>
                    <w:r>
                      <w:rPr>
                        <w:rFonts w:ascii="宋体" w:hAnsi="宋体" w:eastAsia="宋体" w:cs="宋体"/>
                        <w:color w:val="000000"/>
                        <w:spacing w:val="0"/>
                        <w:w w:val="100"/>
                        <w:position w:val="0"/>
                        <w:sz w:val="22"/>
                        <w:szCs w:val="22"/>
                      </w:rPr>
                      <w:t>-</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6213475</wp:posOffset>
              </wp:positionH>
              <wp:positionV relativeFrom="page">
                <wp:posOffset>9561195</wp:posOffset>
              </wp:positionV>
              <wp:extent cx="283210" cy="94615"/>
              <wp:effectExtent l="0" t="0" r="0" b="0"/>
              <wp:wrapNone/>
              <wp:docPr id="77" name="Shape 77"/>
              <wp:cNvGraphicFramePr/>
              <a:graphic xmlns:a="http://schemas.openxmlformats.org/drawingml/2006/main">
                <a:graphicData uri="http://schemas.microsoft.com/office/word/2010/wordprocessingShape">
                  <wps:wsp>
                    <wps:cNvSpPr txBox="1"/>
                    <wps:spPr>
                      <a:xfrm>
                        <a:off x="0" y="0"/>
                        <a:ext cx="283210" cy="94615"/>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17—</w:t>
                          </w:r>
                        </w:p>
                      </w:txbxContent>
                    </wps:txbx>
                    <wps:bodyPr wrap="none" lIns="0" tIns="0" rIns="0" bIns="0">
                      <a:spAutoFit/>
                    </wps:bodyPr>
                  </wps:wsp>
                </a:graphicData>
              </a:graphic>
            </wp:anchor>
          </w:drawing>
        </mc:Choice>
        <mc:Fallback>
          <w:pict>
            <v:shape id="Shape 77" o:spid="_x0000_s1026" o:spt="202" type="#_x0000_t202" style="position:absolute;left:0pt;margin-left:489.25pt;margin-top:752.85pt;height:7.45pt;width:22.3pt;mso-position-horizontal-relative:page;mso-position-vertical-relative:page;mso-wrap-style:none;z-index:-251657216;mso-width-relative:page;mso-height-relative:page;" filled="f" stroked="f" coordsize="21600,21600" o:gfxdata="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Q/vTnY&#10;AAAADgEAAA8AAAAAAAAAAQAgAAAAIgAAAGRycy9kb3ducmV2LnhtbFBLAQIUABQAAAAIAIdO4kAJ&#10;hKcArgEAAHADAAAOAAAAAAAAAAEAIAAAACcBAABkcnMvZTJvRG9jLnhtbFBLBQYAAAAABgAGAFkB&#10;AABHBQ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1346200</wp:posOffset>
              </wp:positionH>
              <wp:positionV relativeFrom="page">
                <wp:posOffset>9556115</wp:posOffset>
              </wp:positionV>
              <wp:extent cx="76200" cy="106680"/>
              <wp:effectExtent l="0" t="0" r="0" b="0"/>
              <wp:wrapNone/>
              <wp:docPr id="5" name="Shape 5"/>
              <wp:cNvGraphicFramePr/>
              <a:graphic xmlns:a="http://schemas.openxmlformats.org/drawingml/2006/main">
                <a:graphicData uri="http://schemas.microsoft.com/office/word/2010/wordprocessingShape">
                  <wps:wsp>
                    <wps:cNvSpPr txBox="1"/>
                    <wps:spPr>
                      <a:xfrm>
                        <a:off x="0" y="0"/>
                        <a:ext cx="76200" cy="106680"/>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2</w:t>
                          </w:r>
                        </w:p>
                      </w:txbxContent>
                    </wps:txbx>
                    <wps:bodyPr wrap="none" lIns="0" tIns="0" rIns="0" bIns="0">
                      <a:spAutoFit/>
                    </wps:bodyPr>
                  </wps:wsp>
                </a:graphicData>
              </a:graphic>
            </wp:anchor>
          </w:drawing>
        </mc:Choice>
        <mc:Fallback>
          <w:pict>
            <v:shape id="Shape 5" o:spid="_x0000_s1026" o:spt="202" type="#_x0000_t202" style="position:absolute;left:0pt;margin-left:106pt;margin-top:752.45pt;height:8.4pt;width:6pt;mso-position-horizontal-relative:page;mso-position-vertical-relative:page;mso-wrap-style:none;z-index:-251657216;mso-width-relative:page;mso-height-relative:page;" filled="f" stroked="f" coordsize="21600,21600" o:gfxdata="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Ty047XAAAA&#10;DQEAAA8AAAAAAAAAAQAgAAAAIgAAAGRycy9kb3ducmV2LnhtbFBLAQIUABQAAAAIAIdO4kCoRza+&#10;rAEAAG4DAAAOAAAAAAAAAAEAIAAAACYBAABkcnMvZTJvRG9jLnhtbFBLBQYAAAAABgAGAFkBAABE&#10;BQ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2</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6213475</wp:posOffset>
              </wp:positionH>
              <wp:positionV relativeFrom="page">
                <wp:posOffset>9561195</wp:posOffset>
              </wp:positionV>
              <wp:extent cx="283210" cy="94615"/>
              <wp:effectExtent l="0" t="0" r="0" b="0"/>
              <wp:wrapNone/>
              <wp:docPr id="79" name="Shape 79"/>
              <wp:cNvGraphicFramePr/>
              <a:graphic xmlns:a="http://schemas.openxmlformats.org/drawingml/2006/main">
                <a:graphicData uri="http://schemas.microsoft.com/office/word/2010/wordprocessingShape">
                  <wps:wsp>
                    <wps:cNvSpPr txBox="1"/>
                    <wps:spPr>
                      <a:xfrm>
                        <a:off x="0" y="0"/>
                        <a:ext cx="283210" cy="94615"/>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17—</w:t>
                          </w:r>
                        </w:p>
                      </w:txbxContent>
                    </wps:txbx>
                    <wps:bodyPr wrap="none" lIns="0" tIns="0" rIns="0" bIns="0">
                      <a:spAutoFit/>
                    </wps:bodyPr>
                  </wps:wsp>
                </a:graphicData>
              </a:graphic>
            </wp:anchor>
          </w:drawing>
        </mc:Choice>
        <mc:Fallback>
          <w:pict>
            <v:shape id="Shape 79" o:spid="_x0000_s1026" o:spt="202" type="#_x0000_t202" style="position:absolute;left:0pt;margin-left:489.25pt;margin-top:752.85pt;height:7.45pt;width:22.3pt;mso-position-horizontal-relative:page;mso-position-vertical-relative:page;mso-wrap-style:none;z-index:-251657216;mso-width-relative:page;mso-height-relative:page;" filled="f" stroked="f" coordsize="21600,21600" o:gfxdata="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D+9OdgA&#10;AAAOAQAADwAAAAAAAAABACAAAAAiAAAAZHJzL2Rvd25yZXYueG1sUEsBAhQAFAAAAAgAh07iQG9r&#10;6GytAQAAcAMAAA4AAAAAAAAAAQAgAAAAJwEAAGRycy9lMm9Eb2MueG1sUEsFBgAAAAAGAAYAWQEA&#10;AEYFA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17—</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1199515</wp:posOffset>
              </wp:positionH>
              <wp:positionV relativeFrom="page">
                <wp:posOffset>9466580</wp:posOffset>
              </wp:positionV>
              <wp:extent cx="533400" cy="94615"/>
              <wp:effectExtent l="0" t="0" r="0" b="0"/>
              <wp:wrapNone/>
              <wp:docPr id="81" name="Shape 81"/>
              <wp:cNvGraphicFramePr/>
              <a:graphic xmlns:a="http://schemas.openxmlformats.org/drawingml/2006/main">
                <a:graphicData uri="http://schemas.microsoft.com/office/word/2010/wordprocessingShape">
                  <wps:wsp>
                    <wps:cNvSpPr txBox="1"/>
                    <wps:spPr>
                      <a:xfrm>
                        <a:off x="0" y="0"/>
                        <a:ext cx="533400" cy="94615"/>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lang w:val="en-US" w:eastAsia="en-US" w:bidi="en-US"/>
                            </w:rPr>
                            <w:t>—16</w:t>
                          </w:r>
                          <w:r>
                            <w:rPr>
                              <w:rFonts w:ascii="宋体" w:hAnsi="宋体" w:eastAsia="宋体" w:cs="宋体"/>
                              <w:color w:val="000000"/>
                              <w:spacing w:val="0"/>
                              <w:w w:val="100"/>
                              <w:position w:val="0"/>
                            </w:rPr>
                            <w:t>—</w:t>
                          </w:r>
                        </w:p>
                      </w:txbxContent>
                    </wps:txbx>
                    <wps:bodyPr wrap="none" lIns="0" tIns="0" rIns="0" bIns="0">
                      <a:spAutoFit/>
                    </wps:bodyPr>
                  </wps:wsp>
                </a:graphicData>
              </a:graphic>
            </wp:anchor>
          </w:drawing>
        </mc:Choice>
        <mc:Fallback>
          <w:pict>
            <v:shape id="Shape 81" o:spid="_x0000_s1026" o:spt="202" type="#_x0000_t202" style="position:absolute;left:0pt;margin-left:94.45pt;margin-top:745.4pt;height:7.45pt;width:42pt;mso-position-horizontal-relative:page;mso-position-vertical-relative:page;mso-wrap-style:none;z-index:-251657216;mso-width-relative:page;mso-height-relative:page;" filled="f" stroked="f" coordsize="21600,21600" o:gfxdata="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I7IpDWAAAA&#10;DQEAAA8AAAAAAAAAAQAgAAAAIgAAAGRycy9kb3ducmV2LnhtbFBLAQIUABQAAAAIAIdO4kDktrXS&#10;rQEAAHADAAAOAAAAAAAAAAEAIAAAACUBAABkcnMvZTJvRG9jLnhtbFBLBQYAAAAABgAGAFkBAABE&#10;BQ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lang w:val="en-US" w:eastAsia="en-US" w:bidi="en-US"/>
                      </w:rPr>
                      <w:t>—16</w:t>
                    </w:r>
                    <w:r>
                      <w:rPr>
                        <w:rFonts w:ascii="宋体" w:hAnsi="宋体" w:eastAsia="宋体" w:cs="宋体"/>
                        <w:color w:val="000000"/>
                        <w:spacing w:val="0"/>
                        <w:w w:val="100"/>
                        <w:position w:val="0"/>
                      </w:rPr>
                      <w:t>—</w:t>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1480185</wp:posOffset>
              </wp:positionH>
              <wp:positionV relativeFrom="page">
                <wp:posOffset>9573260</wp:posOffset>
              </wp:positionV>
              <wp:extent cx="277495" cy="94615"/>
              <wp:effectExtent l="0" t="0" r="0" b="0"/>
              <wp:wrapNone/>
              <wp:docPr id="83" name="Shape 83"/>
              <wp:cNvGraphicFramePr/>
              <a:graphic xmlns:a="http://schemas.openxmlformats.org/drawingml/2006/main">
                <a:graphicData uri="http://schemas.microsoft.com/office/word/2010/wordprocessingShape">
                  <wps:wsp>
                    <wps:cNvSpPr txBox="1"/>
                    <wps:spPr>
                      <a:xfrm>
                        <a:off x="0" y="0"/>
                        <a:ext cx="277495" cy="94615"/>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18—</w:t>
                          </w:r>
                        </w:p>
                      </w:txbxContent>
                    </wps:txbx>
                    <wps:bodyPr wrap="none" lIns="0" tIns="0" rIns="0" bIns="0">
                      <a:spAutoFit/>
                    </wps:bodyPr>
                  </wps:wsp>
                </a:graphicData>
              </a:graphic>
            </wp:anchor>
          </w:drawing>
        </mc:Choice>
        <mc:Fallback>
          <w:pict>
            <v:shape id="Shape 83" o:spid="_x0000_s1026" o:spt="202" type="#_x0000_t202" style="position:absolute;left:0pt;margin-left:116.55pt;margin-top:753.8pt;height:7.45pt;width:21.85pt;mso-position-horizontal-relative:page;mso-position-vertical-relative:page;mso-wrap-style:none;z-index:-251657216;mso-width-relative:page;mso-height-relative:page;" filled="f" stroked="f" coordsize="21600,21600" o:gfxdata="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Uc86XY&#10;AAAADQEAAA8AAAAAAAAAAQAgAAAAIgAAAGRycy9kb3ducmV2LnhtbFBLAQIUABQAAAAIAIdO4kC+&#10;CZ/qrgEAAHADAAAOAAAAAAAAAAEAIAAAACcBAABkcnMvZTJvRG9jLnhtbFBLBQYAAAAABgAGAFkB&#10;AABHBQ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18—</w:t>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6149340</wp:posOffset>
              </wp:positionH>
              <wp:positionV relativeFrom="page">
                <wp:posOffset>9558020</wp:posOffset>
              </wp:positionV>
              <wp:extent cx="143510" cy="94615"/>
              <wp:effectExtent l="0" t="0" r="0" b="0"/>
              <wp:wrapNone/>
              <wp:docPr id="85" name="Shape 85"/>
              <wp:cNvGraphicFramePr/>
              <a:graphic xmlns:a="http://schemas.openxmlformats.org/drawingml/2006/main">
                <a:graphicData uri="http://schemas.microsoft.com/office/word/2010/wordprocessingShape">
                  <wps:wsp>
                    <wps:cNvSpPr txBox="1"/>
                    <wps:spPr>
                      <a:xfrm>
                        <a:off x="0" y="0"/>
                        <a:ext cx="143510" cy="94615"/>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19</w:t>
                          </w:r>
                        </w:p>
                      </w:txbxContent>
                    </wps:txbx>
                    <wps:bodyPr wrap="none" lIns="0" tIns="0" rIns="0" bIns="0">
                      <a:spAutoFit/>
                    </wps:bodyPr>
                  </wps:wsp>
                </a:graphicData>
              </a:graphic>
            </wp:anchor>
          </w:drawing>
        </mc:Choice>
        <mc:Fallback>
          <w:pict>
            <v:shape id="Shape 85" o:spid="_x0000_s1026" o:spt="202" type="#_x0000_t202" style="position:absolute;left:0pt;margin-left:484.2pt;margin-top:752.6pt;height:7.45pt;width:11.3pt;mso-position-horizontal-relative:page;mso-position-vertical-relative:page;mso-wrap-style:none;z-index:-251657216;mso-width-relative:page;mso-height-relative:page;" filled="f" stroked="f" coordsize="21600,21600" o:gfxdata="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Elzm9gA&#10;AAANAQAADwAAAAAAAAABACAAAAAiAAAAZHJzL2Rvd25yZXYueG1sUEsBAhQAFAAAAAgAh07iQAGG&#10;JrutAQAAcAMAAA4AAAAAAAAAAQAgAAAAJwEAAGRycy9lMm9Eb2MueG1sUEsFBgAAAAAGAAYAWQEA&#10;AEYFA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19</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1346200</wp:posOffset>
              </wp:positionH>
              <wp:positionV relativeFrom="page">
                <wp:posOffset>9556115</wp:posOffset>
              </wp:positionV>
              <wp:extent cx="76200" cy="106680"/>
              <wp:effectExtent l="0" t="0" r="0" b="0"/>
              <wp:wrapNone/>
              <wp:docPr id="7" name="Shape 7"/>
              <wp:cNvGraphicFramePr/>
              <a:graphic xmlns:a="http://schemas.openxmlformats.org/drawingml/2006/main">
                <a:graphicData uri="http://schemas.microsoft.com/office/word/2010/wordprocessingShape">
                  <wps:wsp>
                    <wps:cNvSpPr txBox="1"/>
                    <wps:spPr>
                      <a:xfrm>
                        <a:off x="0" y="0"/>
                        <a:ext cx="76200" cy="106680"/>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2</w:t>
                          </w:r>
                        </w:p>
                      </w:txbxContent>
                    </wps:txbx>
                    <wps:bodyPr wrap="none" lIns="0" tIns="0" rIns="0" bIns="0">
                      <a:spAutoFit/>
                    </wps:bodyPr>
                  </wps:wsp>
                </a:graphicData>
              </a:graphic>
            </wp:anchor>
          </w:drawing>
        </mc:Choice>
        <mc:Fallback>
          <w:pict>
            <v:shape id="Shape 7" o:spid="_x0000_s1026" o:spt="202" type="#_x0000_t202" style="position:absolute;left:0pt;margin-left:106pt;margin-top:752.45pt;height:8.4pt;width:6pt;mso-position-horizontal-relative:page;mso-position-vertical-relative:page;mso-wrap-style:none;z-index:-251657216;mso-width-relative:page;mso-height-relative:page;" filled="f" stroked="f" coordsize="21600,21600" o:gfxdata="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PLTjtcAAAAN&#10;AQAADwAAAAAAAAABACAAAAAiAAAAZHJzL2Rvd25yZXYueG1sUEsBAhQAFAAAAAgAh07iQPrV3Iyr&#10;AQAAbgMAAA4AAAAAAAAAAQAgAAAAJgEAAGRycy9lMm9Eb2MueG1sUEsFBgAAAAAGAAYAWQEAAEMF&#10;A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2</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5707380</wp:posOffset>
              </wp:positionH>
              <wp:positionV relativeFrom="page">
                <wp:posOffset>9434195</wp:posOffset>
              </wp:positionV>
              <wp:extent cx="445135"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445135" cy="103505"/>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lang w:val="en-US" w:eastAsia="en-US" w:bidi="en-US"/>
                            </w:rPr>
                            <w:t>一</w:t>
                          </w:r>
                          <w:r>
                            <w:rPr>
                              <w:rFonts w:ascii="Times New Roman" w:hAnsi="Times New Roman" w:eastAsia="Times New Roman" w:cs="Times New Roman"/>
                              <w:color w:val="000000"/>
                              <w:spacing w:val="0"/>
                              <w:w w:val="100"/>
                              <w:position w:val="0"/>
                              <w:sz w:val="24"/>
                              <w:szCs w:val="24"/>
                            </w:rPr>
                            <w:t>3</w:t>
                          </w:r>
                          <w:r>
                            <w:rPr>
                              <w:rFonts w:ascii="宋体" w:hAnsi="宋体" w:eastAsia="宋体" w:cs="宋体"/>
                              <w:color w:val="000000"/>
                              <w:spacing w:val="0"/>
                              <w:w w:val="100"/>
                              <w:position w:val="0"/>
                            </w:rPr>
                            <w:t>一</w:t>
                          </w:r>
                        </w:p>
                      </w:txbxContent>
                    </wps:txbx>
                    <wps:bodyPr wrap="none" lIns="0" tIns="0" rIns="0" bIns="0">
                      <a:spAutoFit/>
                    </wps:bodyPr>
                  </wps:wsp>
                </a:graphicData>
              </a:graphic>
            </wp:anchor>
          </w:drawing>
        </mc:Choice>
        <mc:Fallback>
          <w:pict>
            <v:shape id="Shape 9" o:spid="_x0000_s1026" o:spt="202" type="#_x0000_t202" style="position:absolute;left:0pt;margin-left:449.4pt;margin-top:742.85pt;height:8.15pt;width:35.05pt;mso-position-horizontal-relative:page;mso-position-vertical-relative:page;mso-wrap-style:none;z-index:-251657216;mso-width-relative:page;mso-height-relative:page;" filled="f" stroked="f" coordsize="21600,21600" o:gfxdata="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MpXmrZ&#10;AAAADQEAAA8AAAAAAAAAAQAgAAAAIgAAAGRycy9kb3ducmV2LnhtbFBLAQIUABQAAAAIAIdO4kCi&#10;rILQrQEAAG8DAAAOAAAAAAAAAAEAIAAAACgBAABkcnMvZTJvRG9jLnhtbFBLBQYAAAAABgAGAFkB&#10;AABHBQ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lang w:val="en-US" w:eastAsia="en-US" w:bidi="en-US"/>
                      </w:rPr>
                      <w:t>一</w:t>
                    </w:r>
                    <w:r>
                      <w:rPr>
                        <w:rFonts w:ascii="Times New Roman" w:hAnsi="Times New Roman" w:eastAsia="Times New Roman" w:cs="Times New Roman"/>
                        <w:color w:val="000000"/>
                        <w:spacing w:val="0"/>
                        <w:w w:val="100"/>
                        <w:position w:val="0"/>
                        <w:sz w:val="24"/>
                        <w:szCs w:val="24"/>
                      </w:rPr>
                      <w:t>3</w:t>
                    </w:r>
                    <w:r>
                      <w:rPr>
                        <w:rFonts w:ascii="宋体" w:hAnsi="宋体" w:eastAsia="宋体" w:cs="宋体"/>
                        <w:color w:val="000000"/>
                        <w:spacing w:val="0"/>
                        <w:w w:val="100"/>
                        <w:position w:val="0"/>
                      </w:rPr>
                      <w:t>一</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5707380</wp:posOffset>
              </wp:positionH>
              <wp:positionV relativeFrom="page">
                <wp:posOffset>9434195</wp:posOffset>
              </wp:positionV>
              <wp:extent cx="445135" cy="103505"/>
              <wp:effectExtent l="0" t="0" r="0" b="0"/>
              <wp:wrapNone/>
              <wp:docPr id="11" name="Shape 11"/>
              <wp:cNvGraphicFramePr/>
              <a:graphic xmlns:a="http://schemas.openxmlformats.org/drawingml/2006/main">
                <a:graphicData uri="http://schemas.microsoft.com/office/word/2010/wordprocessingShape">
                  <wps:wsp>
                    <wps:cNvSpPr txBox="1"/>
                    <wps:spPr>
                      <a:xfrm>
                        <a:off x="0" y="0"/>
                        <a:ext cx="445135" cy="103505"/>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lang w:val="en-US" w:eastAsia="en-US" w:bidi="en-US"/>
                            </w:rPr>
                            <w:t>一</w:t>
                          </w:r>
                          <w:r>
                            <w:rPr>
                              <w:rFonts w:ascii="Times New Roman" w:hAnsi="Times New Roman" w:eastAsia="Times New Roman" w:cs="Times New Roman"/>
                              <w:color w:val="000000"/>
                              <w:spacing w:val="0"/>
                              <w:w w:val="100"/>
                              <w:position w:val="0"/>
                              <w:sz w:val="24"/>
                              <w:szCs w:val="24"/>
                            </w:rPr>
                            <w:t>3</w:t>
                          </w:r>
                          <w:r>
                            <w:rPr>
                              <w:rFonts w:ascii="宋体" w:hAnsi="宋体" w:eastAsia="宋体" w:cs="宋体"/>
                              <w:color w:val="000000"/>
                              <w:spacing w:val="0"/>
                              <w:w w:val="100"/>
                              <w:position w:val="0"/>
                            </w:rPr>
                            <w:t>一</w:t>
                          </w:r>
                        </w:p>
                      </w:txbxContent>
                    </wps:txbx>
                    <wps:bodyPr wrap="none" lIns="0" tIns="0" rIns="0" bIns="0">
                      <a:spAutoFit/>
                    </wps:bodyPr>
                  </wps:wsp>
                </a:graphicData>
              </a:graphic>
            </wp:anchor>
          </w:drawing>
        </mc:Choice>
        <mc:Fallback>
          <w:pict>
            <v:shape id="Shape 11" o:spid="_x0000_s1026" o:spt="202" type="#_x0000_t202" style="position:absolute;left:0pt;margin-left:449.4pt;margin-top:742.85pt;height:8.15pt;width:35.05pt;mso-position-horizontal-relative:page;mso-position-vertical-relative:page;mso-wrap-style:none;z-index:-251657216;mso-width-relative:page;mso-height-relative:page;" filled="f" stroked="f" coordsize="21600,21600" o:gfxdata="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MpXmrZ&#10;AAAADQEAAA8AAAAAAAAAAQAgAAAAIgAAAGRycy9kb3ducmV2LnhtbFBLAQIUABQAAAAIAIdO4kCN&#10;V6FNrQEAAHEDAAAOAAAAAAAAAAEAIAAAACgBAABkcnMvZTJvRG9jLnhtbFBLBQYAAAAABgAGAFkB&#10;AABHBQ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lang w:val="en-US" w:eastAsia="en-US" w:bidi="en-US"/>
                      </w:rPr>
                      <w:t>一</w:t>
                    </w:r>
                    <w:r>
                      <w:rPr>
                        <w:rFonts w:ascii="Times New Roman" w:hAnsi="Times New Roman" w:eastAsia="Times New Roman" w:cs="Times New Roman"/>
                        <w:color w:val="000000"/>
                        <w:spacing w:val="0"/>
                        <w:w w:val="100"/>
                        <w:position w:val="0"/>
                        <w:sz w:val="24"/>
                        <w:szCs w:val="24"/>
                      </w:rPr>
                      <w:t>3</w:t>
                    </w:r>
                    <w:r>
                      <w:rPr>
                        <w:rFonts w:ascii="宋体" w:hAnsi="宋体" w:eastAsia="宋体" w:cs="宋体"/>
                        <w:color w:val="000000"/>
                        <w:spacing w:val="0"/>
                        <w:w w:val="100"/>
                        <w:position w:val="0"/>
                      </w:rPr>
                      <w:t>一</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5937250</wp:posOffset>
              </wp:positionH>
              <wp:positionV relativeFrom="page">
                <wp:posOffset>9564370</wp:posOffset>
              </wp:positionV>
              <wp:extent cx="457200" cy="94615"/>
              <wp:effectExtent l="0" t="0" r="0" b="0"/>
              <wp:wrapNone/>
              <wp:docPr id="13" name="Shape 13"/>
              <wp:cNvGraphicFramePr/>
              <a:graphic xmlns:a="http://schemas.openxmlformats.org/drawingml/2006/main">
                <a:graphicData uri="http://schemas.microsoft.com/office/word/2010/wordprocessingShape">
                  <wps:wsp>
                    <wps:cNvSpPr txBox="1"/>
                    <wps:spPr>
                      <a:xfrm>
                        <a:off x="0" y="0"/>
                        <a:ext cx="457200" cy="94615"/>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5—</w:t>
                          </w:r>
                        </w:p>
                      </w:txbxContent>
                    </wps:txbx>
                    <wps:bodyPr wrap="none" lIns="0" tIns="0" rIns="0" bIns="0">
                      <a:spAutoFit/>
                    </wps:bodyPr>
                  </wps:wsp>
                </a:graphicData>
              </a:graphic>
            </wp:anchor>
          </w:drawing>
        </mc:Choice>
        <mc:Fallback>
          <w:pict>
            <v:shape id="Shape 13" o:spid="_x0000_s1026" o:spt="202" type="#_x0000_t202" style="position:absolute;left:0pt;margin-left:467.5pt;margin-top:753.1pt;height:7.45pt;width:36pt;mso-position-horizontal-relative:page;mso-position-vertical-relative:page;mso-wrap-style:none;z-index:-251657216;mso-width-relative:page;mso-height-relative:page;" filled="f" stroked="f" coordsize="21600,21600" o:gfxdata="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RbbVe2AAA&#10;AA4BAAAPAAAAAAAAAAEAIAAAACIAAABkcnMvZG93bnJldi54bWxQSwECFAAUAAAACACHTuJATGms&#10;/qwBAABwAwAADgAAAAAAAAABACAAAAAnAQAAZHJzL2Uyb0RvYy54bWxQSwUGAAAAAAYABgBZAQAA&#10;RQU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5—</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5937250</wp:posOffset>
              </wp:positionH>
              <wp:positionV relativeFrom="page">
                <wp:posOffset>9564370</wp:posOffset>
              </wp:positionV>
              <wp:extent cx="457200" cy="94615"/>
              <wp:effectExtent l="0" t="0" r="0" b="0"/>
              <wp:wrapNone/>
              <wp:docPr id="15" name="Shape 15"/>
              <wp:cNvGraphicFramePr/>
              <a:graphic xmlns:a="http://schemas.openxmlformats.org/drawingml/2006/main">
                <a:graphicData uri="http://schemas.microsoft.com/office/word/2010/wordprocessingShape">
                  <wps:wsp>
                    <wps:cNvSpPr txBox="1"/>
                    <wps:spPr>
                      <a:xfrm>
                        <a:off x="0" y="0"/>
                        <a:ext cx="457200" cy="94615"/>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5—</w:t>
                          </w:r>
                        </w:p>
                      </w:txbxContent>
                    </wps:txbx>
                    <wps:bodyPr wrap="none" lIns="0" tIns="0" rIns="0" bIns="0">
                      <a:spAutoFit/>
                    </wps:bodyPr>
                  </wps:wsp>
                </a:graphicData>
              </a:graphic>
            </wp:anchor>
          </w:drawing>
        </mc:Choice>
        <mc:Fallback>
          <w:pict>
            <v:shape id="Shape 15" o:spid="_x0000_s1026" o:spt="202" type="#_x0000_t202" style="position:absolute;left:0pt;margin-left:467.5pt;margin-top:753.1pt;height:7.45pt;width:36pt;mso-position-horizontal-relative:page;mso-position-vertical-relative:page;mso-wrap-style:none;z-index:-251657216;mso-width-relative:page;mso-height-relative:page;" filled="f" stroked="f" coordsize="21600,21600" o:gfxdata="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FttV7YAAAA&#10;DgEAAA8AAAAAAAAAAQAgAAAAIgAAAGRycy9kb3ducmV2LnhtbFBLAQIUABQAAAAIAIdO4kDCD4fC&#10;qwEAAHADAAAOAAAAAAAAAAEAIAAAACcBAABkcnMvZTJvRG9jLnhtbFBLBQYAAAAABgAGAFkBAABE&#10;BQ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5—</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1209040</wp:posOffset>
              </wp:positionH>
              <wp:positionV relativeFrom="page">
                <wp:posOffset>9574530</wp:posOffset>
              </wp:positionV>
              <wp:extent cx="460375" cy="94615"/>
              <wp:effectExtent l="0" t="0" r="0" b="0"/>
              <wp:wrapNone/>
              <wp:docPr id="17" name="Shape 17"/>
              <wp:cNvGraphicFramePr/>
              <a:graphic xmlns:a="http://schemas.openxmlformats.org/drawingml/2006/main">
                <a:graphicData uri="http://schemas.microsoft.com/office/word/2010/wordprocessingShape">
                  <wps:wsp>
                    <wps:cNvSpPr txBox="1"/>
                    <wps:spPr>
                      <a:xfrm>
                        <a:off x="0" y="0"/>
                        <a:ext cx="460375" cy="94615"/>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—4</w:t>
                          </w:r>
                          <w:r>
                            <w:rPr>
                              <w:rFonts w:ascii="Times New Roman" w:hAnsi="Times New Roman" w:eastAsia="Times New Roman" w:cs="Times New Roman"/>
                              <w:color w:val="000000"/>
                              <w:spacing w:val="0"/>
                              <w:w w:val="100"/>
                              <w:position w:val="0"/>
                            </w:rPr>
                            <w:t>——</w:t>
                          </w:r>
                        </w:p>
                      </w:txbxContent>
                    </wps:txbx>
                    <wps:bodyPr wrap="none" lIns="0" tIns="0" rIns="0" bIns="0">
                      <a:spAutoFit/>
                    </wps:bodyPr>
                  </wps:wsp>
                </a:graphicData>
              </a:graphic>
            </wp:anchor>
          </w:drawing>
        </mc:Choice>
        <mc:Fallback>
          <w:pict>
            <v:shape id="Shape 17" o:spid="_x0000_s1026" o:spt="202" type="#_x0000_t202" style="position:absolute;left:0pt;margin-left:95.2pt;margin-top:753.9pt;height:7.45pt;width:36.25pt;mso-position-horizontal-relative:page;mso-position-vertical-relative:page;mso-wrap-style:none;z-index:-251657216;mso-width-relative:page;mso-height-relative:page;" filled="f" stroked="f" coordsize="21600,21600" o:gfxdata="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Ij1TNgA&#10;AAANAQAADwAAAAAAAAABACAAAAAiAAAAZHJzL2Rvd25yZXYueG1sUEsBAhQAFAAAAAgAh07iQFsI&#10;J/6tAQAAcAMAAA4AAAAAAAAAAQAgAAAAJwEAAGRycy9lMm9Eb2MueG1sUEsFBgAAAAAGAAYAWQEA&#10;AEYFA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—4</w:t>
                    </w:r>
                    <w:r>
                      <w:rPr>
                        <w:rFonts w:ascii="Times New Roman" w:hAnsi="Times New Roman" w:eastAsia="Times New Roman" w:cs="Times New Roman"/>
                        <w:color w:val="000000"/>
                        <w:spacing w:val="0"/>
                        <w:w w:val="100"/>
                        <w:position w:val="0"/>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715010</wp:posOffset>
              </wp:positionH>
              <wp:positionV relativeFrom="page">
                <wp:posOffset>945515</wp:posOffset>
              </wp:positionV>
              <wp:extent cx="374650" cy="97790"/>
              <wp:effectExtent l="0" t="0" r="0" b="0"/>
              <wp:wrapNone/>
              <wp:docPr id="51" name="Shape 51"/>
              <wp:cNvGraphicFramePr/>
              <a:graphic xmlns:a="http://schemas.openxmlformats.org/drawingml/2006/main">
                <a:graphicData uri="http://schemas.microsoft.com/office/word/2010/wordprocessingShape">
                  <wps:wsp>
                    <wps:cNvSpPr txBox="1"/>
                    <wps:spPr>
                      <a:xfrm>
                        <a:off x="0" y="0"/>
                        <a:ext cx="374650" cy="97790"/>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rPr>
                              <w:sz w:val="17"/>
                              <w:szCs w:val="17"/>
                            </w:rPr>
                          </w:pPr>
                        </w:p>
                      </w:txbxContent>
                    </wps:txbx>
                    <wps:bodyPr wrap="none" lIns="0" tIns="0" rIns="0" bIns="0">
                      <a:spAutoFit/>
                    </wps:bodyPr>
                  </wps:wsp>
                </a:graphicData>
              </a:graphic>
            </wp:anchor>
          </w:drawing>
        </mc:Choice>
        <mc:Fallback>
          <w:pict>
            <v:shape id="Shape 51" o:spid="_x0000_s1026" o:spt="202" type="#_x0000_t202" style="position:absolute;left:0pt;margin-left:56.3pt;margin-top:74.45pt;height:7.7pt;width:29.5pt;mso-position-horizontal-relative:page;mso-position-vertical-relative:page;mso-wrap-style:none;z-index:-251657216;mso-width-relative:page;mso-height-relative:page;" filled="f" stroked="f" coordsize="21600,21600" o:gfxdata="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u1cMt1gAA&#10;AAsBAAAPAAAAAAAAAAEAIAAAACIAAABkcnMvZG93bnJldi54bWxQSwECFAAUAAAACACHTuJAacFo&#10;y64BAABwAwAADgAAAAAAAAABACAAAAAlAQAAZHJzL2Uyb0RvYy54bWxQSwUGAAAAAAYABgBZAQAA&#10;RQU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sz w:val="17"/>
                        <w:szCs w:val="17"/>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715010</wp:posOffset>
              </wp:positionH>
              <wp:positionV relativeFrom="page">
                <wp:posOffset>945515</wp:posOffset>
              </wp:positionV>
              <wp:extent cx="374650" cy="97790"/>
              <wp:effectExtent l="0" t="0" r="0" b="0"/>
              <wp:wrapNone/>
              <wp:docPr id="53" name="Shape 53"/>
              <wp:cNvGraphicFramePr/>
              <a:graphic xmlns:a="http://schemas.openxmlformats.org/drawingml/2006/main">
                <a:graphicData uri="http://schemas.microsoft.com/office/word/2010/wordprocessingShape">
                  <wps:wsp>
                    <wps:cNvSpPr txBox="1"/>
                    <wps:spPr>
                      <a:xfrm>
                        <a:off x="0" y="0"/>
                        <a:ext cx="374650" cy="97790"/>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rPr>
                              <w:sz w:val="17"/>
                              <w:szCs w:val="17"/>
                            </w:rPr>
                          </w:pPr>
                          <w:r>
                            <w:rPr>
                              <w:rFonts w:ascii="宋体" w:hAnsi="宋体" w:eastAsia="宋体" w:cs="宋体"/>
                              <w:color w:val="000000"/>
                              <w:spacing w:val="0"/>
                              <w:w w:val="100"/>
                              <w:position w:val="0"/>
                              <w:sz w:val="17"/>
                              <w:szCs w:val="17"/>
                            </w:rPr>
                            <w:t>公开表</w:t>
                          </w:r>
                          <w:r>
                            <w:fldChar w:fldCharType="begin"/>
                          </w:r>
                          <w:r>
                            <w:instrText xml:space="preserve"> PAGE \* MERGEFORMAT </w:instrText>
                          </w:r>
                          <w:r>
                            <w:fldChar w:fldCharType="separate"/>
                          </w:r>
                          <w:r>
                            <w:rPr>
                              <w:rFonts w:ascii="宋体" w:hAnsi="宋体" w:eastAsia="宋体" w:cs="宋体"/>
                              <w:color w:val="000000"/>
                              <w:spacing w:val="0"/>
                              <w:w w:val="100"/>
                              <w:position w:val="0"/>
                              <w:sz w:val="17"/>
                              <w:szCs w:val="17"/>
                              <w:lang w:val="zh-CN" w:eastAsia="zh-CN" w:bidi="zh-CN"/>
                            </w:rPr>
                            <w:t>#</w:t>
                          </w:r>
                          <w:r>
                            <w:rPr>
                              <w:rFonts w:ascii="宋体" w:hAnsi="宋体" w:eastAsia="宋体" w:cs="宋体"/>
                              <w:color w:val="000000"/>
                              <w:spacing w:val="0"/>
                              <w:w w:val="100"/>
                              <w:position w:val="0"/>
                              <w:sz w:val="17"/>
                              <w:szCs w:val="17"/>
                              <w:lang w:val="zh-CN" w:eastAsia="zh-CN" w:bidi="zh-CN"/>
                            </w:rPr>
                            <w:fldChar w:fldCharType="end"/>
                          </w:r>
                        </w:p>
                      </w:txbxContent>
                    </wps:txbx>
                    <wps:bodyPr wrap="none" lIns="0" tIns="0" rIns="0" bIns="0">
                      <a:spAutoFit/>
                    </wps:bodyPr>
                  </wps:wsp>
                </a:graphicData>
              </a:graphic>
            </wp:anchor>
          </w:drawing>
        </mc:Choice>
        <mc:Fallback>
          <w:pict>
            <v:shape id="Shape 53" o:spid="_x0000_s1026" o:spt="202" type="#_x0000_t202" style="position:absolute;left:0pt;margin-left:56.3pt;margin-top:74.45pt;height:7.7pt;width:29.5pt;mso-position-horizontal-relative:page;mso-position-vertical-relative:page;mso-wrap-style:none;z-index:-251657216;mso-width-relative:page;mso-height-relative:page;" filled="f" stroked="f" coordsize="21600,21600" o:gfxdata="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u1cMt1gAA&#10;AAsBAAAPAAAAAAAAAAEAIAAAACIAAABkcnMvZG93bnJldi54bWxQSwECFAAUAAAACACHTuJAE+Nx&#10;364BAABwAwAADgAAAAAAAAABACAAAAAlAQAAZHJzL2Uyb0RvYy54bWxQSwUGAAAAAAYABgBZAQAA&#10;RQU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sz w:val="17"/>
                        <w:szCs w:val="17"/>
                      </w:rPr>
                    </w:pPr>
                    <w:r>
                      <w:rPr>
                        <w:rFonts w:ascii="宋体" w:hAnsi="宋体" w:eastAsia="宋体" w:cs="宋体"/>
                        <w:color w:val="000000"/>
                        <w:spacing w:val="0"/>
                        <w:w w:val="100"/>
                        <w:position w:val="0"/>
                        <w:sz w:val="17"/>
                        <w:szCs w:val="17"/>
                      </w:rPr>
                      <w:t>公开表</w:t>
                    </w:r>
                    <w:r>
                      <w:fldChar w:fldCharType="begin"/>
                    </w:r>
                    <w:r>
                      <w:instrText xml:space="preserve"> PAGE \* MERGEFORMAT </w:instrText>
                    </w:r>
                    <w:r>
                      <w:fldChar w:fldCharType="separate"/>
                    </w:r>
                    <w:r>
                      <w:rPr>
                        <w:rFonts w:ascii="宋体" w:hAnsi="宋体" w:eastAsia="宋体" w:cs="宋体"/>
                        <w:color w:val="000000"/>
                        <w:spacing w:val="0"/>
                        <w:w w:val="100"/>
                        <w:position w:val="0"/>
                        <w:sz w:val="17"/>
                        <w:szCs w:val="17"/>
                        <w:lang w:val="zh-CN" w:eastAsia="zh-CN" w:bidi="zh-CN"/>
                      </w:rPr>
                      <w:t>#</w:t>
                    </w:r>
                    <w:r>
                      <w:rPr>
                        <w:rFonts w:ascii="宋体" w:hAnsi="宋体" w:eastAsia="宋体" w:cs="宋体"/>
                        <w:color w:val="000000"/>
                        <w:spacing w:val="0"/>
                        <w:w w:val="100"/>
                        <w:position w:val="0"/>
                        <w:sz w:val="17"/>
                        <w:szCs w:val="17"/>
                        <w:lang w:val="zh-CN" w:eastAsia="zh-CN" w:bidi="zh-CN"/>
                      </w:rP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2ECE"/>
    <w:multiLevelType w:val="singleLevel"/>
    <w:tmpl w:val="03D62EC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0"/>
        <w:szCs w:val="30"/>
        <w:u w:val="none"/>
        <w:shd w:val="clear" w:color="auto" w:fill="auto"/>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
  <w:rsids>
    <w:rsidRoot w:val="00000000"/>
    <w:rsid w:val="00DF116A"/>
    <w:rsid w:val="01B11AED"/>
    <w:rsid w:val="0C225F1A"/>
    <w:rsid w:val="1DA54189"/>
    <w:rsid w:val="207F7707"/>
    <w:rsid w:val="2679129B"/>
    <w:rsid w:val="268C003A"/>
    <w:rsid w:val="31DC0DF4"/>
    <w:rsid w:val="43157718"/>
    <w:rsid w:val="457259F2"/>
    <w:rsid w:val="459968A6"/>
    <w:rsid w:val="5D317B6D"/>
    <w:rsid w:val="5EC32F9E"/>
    <w:rsid w:val="60750ED5"/>
    <w:rsid w:val="77DA54D1"/>
    <w:rsid w:val="7AC260A3"/>
    <w:rsid w:val="7E3E18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1I2"/>
    <w:basedOn w:val="1"/>
    <w:qFormat/>
    <w:uiPriority w:val="0"/>
    <w:pPr>
      <w:spacing w:after="120"/>
      <w:ind w:left="420" w:leftChars="200" w:firstLine="420" w:firstLineChars="200"/>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Body text|5_"/>
    <w:basedOn w:val="5"/>
    <w:link w:val="7"/>
    <w:qFormat/>
    <w:uiPriority w:val="0"/>
    <w:rPr>
      <w:rFonts w:ascii="宋体" w:hAnsi="宋体" w:eastAsia="宋体" w:cs="宋体"/>
      <w:b/>
      <w:bCs/>
      <w:sz w:val="72"/>
      <w:szCs w:val="72"/>
      <w:u w:val="none"/>
      <w:shd w:val="clear" w:color="auto" w:fill="auto"/>
      <w:lang w:val="zh-TW" w:eastAsia="zh-TW" w:bidi="zh-TW"/>
    </w:rPr>
  </w:style>
  <w:style w:type="paragraph" w:customStyle="1" w:styleId="7">
    <w:name w:val="Body text|5"/>
    <w:basedOn w:val="1"/>
    <w:link w:val="6"/>
    <w:qFormat/>
    <w:uiPriority w:val="0"/>
    <w:pPr>
      <w:widowControl w:val="0"/>
      <w:shd w:val="clear" w:color="auto" w:fill="auto"/>
      <w:spacing w:after="60"/>
      <w:jc w:val="center"/>
    </w:pPr>
    <w:rPr>
      <w:rFonts w:ascii="宋体" w:hAnsi="宋体" w:eastAsia="宋体" w:cs="宋体"/>
      <w:b/>
      <w:bCs/>
      <w:sz w:val="72"/>
      <w:szCs w:val="72"/>
      <w:u w:val="none"/>
      <w:shd w:val="clear" w:color="auto" w:fill="auto"/>
      <w:lang w:val="zh-TW" w:eastAsia="zh-TW" w:bidi="zh-TW"/>
    </w:rPr>
  </w:style>
  <w:style w:type="character" w:customStyle="1" w:styleId="8">
    <w:name w:val="Header or footer|2_"/>
    <w:basedOn w:val="5"/>
    <w:link w:val="9"/>
    <w:qFormat/>
    <w:uiPriority w:val="0"/>
    <w:rPr>
      <w:sz w:val="20"/>
      <w:szCs w:val="20"/>
      <w:u w:val="none"/>
      <w:shd w:val="clear" w:color="auto" w:fill="auto"/>
      <w:lang w:val="zh-TW" w:eastAsia="zh-TW" w:bidi="zh-TW"/>
    </w:rPr>
  </w:style>
  <w:style w:type="paragraph" w:customStyle="1" w:styleId="9">
    <w:name w:val="Header or footer|2"/>
    <w:basedOn w:val="1"/>
    <w:link w:val="8"/>
    <w:qFormat/>
    <w:uiPriority w:val="0"/>
    <w:pPr>
      <w:widowControl w:val="0"/>
      <w:shd w:val="clear" w:color="auto" w:fill="auto"/>
    </w:pPr>
    <w:rPr>
      <w:sz w:val="20"/>
      <w:szCs w:val="20"/>
      <w:u w:val="none"/>
      <w:shd w:val="clear" w:color="auto" w:fill="auto"/>
      <w:lang w:val="zh-TW" w:eastAsia="zh-TW" w:bidi="zh-TW"/>
    </w:rPr>
  </w:style>
  <w:style w:type="character" w:customStyle="1" w:styleId="10">
    <w:name w:val="Body text|1_"/>
    <w:basedOn w:val="5"/>
    <w:link w:val="11"/>
    <w:qFormat/>
    <w:uiPriority w:val="0"/>
    <w:rPr>
      <w:rFonts w:ascii="宋体" w:hAnsi="宋体" w:eastAsia="宋体" w:cs="宋体"/>
      <w:sz w:val="30"/>
      <w:szCs w:val="30"/>
      <w:u w:val="none"/>
      <w:shd w:val="clear" w:color="auto" w:fill="auto"/>
      <w:lang w:val="zh-TW" w:eastAsia="zh-TW" w:bidi="zh-TW"/>
    </w:rPr>
  </w:style>
  <w:style w:type="paragraph" w:customStyle="1" w:styleId="11">
    <w:name w:val="Body text|1"/>
    <w:basedOn w:val="1"/>
    <w:link w:val="10"/>
    <w:qFormat/>
    <w:uiPriority w:val="0"/>
    <w:pPr>
      <w:widowControl w:val="0"/>
      <w:shd w:val="clear" w:color="auto" w:fill="auto"/>
      <w:spacing w:line="374" w:lineRule="auto"/>
      <w:ind w:firstLine="400"/>
    </w:pPr>
    <w:rPr>
      <w:rFonts w:ascii="宋体" w:hAnsi="宋体" w:eastAsia="宋体" w:cs="宋体"/>
      <w:sz w:val="30"/>
      <w:szCs w:val="30"/>
      <w:u w:val="none"/>
      <w:shd w:val="clear" w:color="auto" w:fill="auto"/>
      <w:lang w:val="zh-TW" w:eastAsia="zh-TW" w:bidi="zh-TW"/>
    </w:rPr>
  </w:style>
  <w:style w:type="character" w:customStyle="1" w:styleId="12">
    <w:name w:val="Body text|3_"/>
    <w:basedOn w:val="5"/>
    <w:link w:val="13"/>
    <w:qFormat/>
    <w:uiPriority w:val="0"/>
    <w:rPr>
      <w:rFonts w:ascii="宋体" w:hAnsi="宋体" w:eastAsia="宋体" w:cs="宋体"/>
      <w:sz w:val="50"/>
      <w:szCs w:val="50"/>
      <w:u w:val="none"/>
      <w:shd w:val="clear" w:color="auto" w:fill="auto"/>
      <w:lang w:val="zh-TW" w:eastAsia="zh-TW" w:bidi="zh-TW"/>
    </w:rPr>
  </w:style>
  <w:style w:type="paragraph" w:customStyle="1" w:styleId="13">
    <w:name w:val="Body text|3"/>
    <w:basedOn w:val="1"/>
    <w:link w:val="12"/>
    <w:qFormat/>
    <w:uiPriority w:val="0"/>
    <w:pPr>
      <w:widowControl w:val="0"/>
      <w:shd w:val="clear" w:color="auto" w:fill="auto"/>
      <w:jc w:val="center"/>
    </w:pPr>
    <w:rPr>
      <w:rFonts w:ascii="宋体" w:hAnsi="宋体" w:eastAsia="宋体" w:cs="宋体"/>
      <w:sz w:val="50"/>
      <w:szCs w:val="50"/>
      <w:u w:val="none"/>
      <w:shd w:val="clear" w:color="auto" w:fill="auto"/>
      <w:lang w:val="zh-TW" w:eastAsia="zh-TW" w:bidi="zh-TW"/>
    </w:rPr>
  </w:style>
  <w:style w:type="character" w:customStyle="1" w:styleId="14">
    <w:name w:val="Body text|2_"/>
    <w:basedOn w:val="5"/>
    <w:link w:val="15"/>
    <w:qFormat/>
    <w:uiPriority w:val="0"/>
    <w:rPr>
      <w:rFonts w:ascii="宋体" w:hAnsi="宋体" w:eastAsia="宋体" w:cs="宋体"/>
      <w:sz w:val="26"/>
      <w:szCs w:val="26"/>
      <w:u w:val="none"/>
      <w:shd w:val="clear" w:color="auto" w:fill="auto"/>
      <w:lang w:val="zh-TW" w:eastAsia="zh-TW" w:bidi="zh-TW"/>
    </w:rPr>
  </w:style>
  <w:style w:type="paragraph" w:customStyle="1" w:styleId="15">
    <w:name w:val="Body text|2"/>
    <w:basedOn w:val="1"/>
    <w:link w:val="14"/>
    <w:uiPriority w:val="0"/>
    <w:pPr>
      <w:widowControl w:val="0"/>
      <w:shd w:val="clear" w:color="auto" w:fill="auto"/>
      <w:spacing w:line="602" w:lineRule="exact"/>
      <w:ind w:firstLine="900"/>
    </w:pPr>
    <w:rPr>
      <w:rFonts w:ascii="宋体" w:hAnsi="宋体" w:eastAsia="宋体" w:cs="宋体"/>
      <w:sz w:val="26"/>
      <w:szCs w:val="26"/>
      <w:u w:val="none"/>
      <w:shd w:val="clear" w:color="auto" w:fill="auto"/>
      <w:lang w:val="zh-TW" w:eastAsia="zh-TW" w:bidi="zh-TW"/>
    </w:rPr>
  </w:style>
  <w:style w:type="character" w:customStyle="1" w:styleId="16">
    <w:name w:val="Header or footer|1_"/>
    <w:basedOn w:val="5"/>
    <w:link w:val="17"/>
    <w:qFormat/>
    <w:uiPriority w:val="0"/>
    <w:rPr>
      <w:sz w:val="20"/>
      <w:szCs w:val="20"/>
      <w:u w:val="none"/>
      <w:shd w:val="clear" w:color="auto" w:fill="auto"/>
      <w:lang w:val="zh-TW" w:eastAsia="zh-TW" w:bidi="zh-TW"/>
    </w:rPr>
  </w:style>
  <w:style w:type="paragraph" w:customStyle="1" w:styleId="17">
    <w:name w:val="Header or footer|1"/>
    <w:basedOn w:val="1"/>
    <w:link w:val="16"/>
    <w:qFormat/>
    <w:uiPriority w:val="0"/>
    <w:pPr>
      <w:widowControl w:val="0"/>
      <w:shd w:val="clear" w:color="auto" w:fill="auto"/>
    </w:pPr>
    <w:rPr>
      <w:sz w:val="20"/>
      <w:szCs w:val="20"/>
      <w:u w:val="none"/>
      <w:shd w:val="clear" w:color="auto" w:fill="auto"/>
      <w:lang w:val="zh-TW" w:eastAsia="zh-TW" w:bidi="zh-TW"/>
    </w:rPr>
  </w:style>
  <w:style w:type="character" w:customStyle="1" w:styleId="18">
    <w:name w:val="Table caption|1_"/>
    <w:basedOn w:val="5"/>
    <w:link w:val="19"/>
    <w:qFormat/>
    <w:uiPriority w:val="0"/>
    <w:rPr>
      <w:rFonts w:ascii="宋体" w:hAnsi="宋体" w:eastAsia="宋体" w:cs="宋体"/>
      <w:sz w:val="30"/>
      <w:szCs w:val="30"/>
      <w:u w:val="none"/>
      <w:shd w:val="clear" w:color="auto" w:fill="auto"/>
      <w:lang w:val="zh-TW" w:eastAsia="zh-TW" w:bidi="zh-TW"/>
    </w:rPr>
  </w:style>
  <w:style w:type="paragraph" w:customStyle="1" w:styleId="19">
    <w:name w:val="Table caption|1"/>
    <w:basedOn w:val="1"/>
    <w:link w:val="18"/>
    <w:qFormat/>
    <w:uiPriority w:val="0"/>
    <w:pPr>
      <w:widowControl w:val="0"/>
      <w:shd w:val="clear" w:color="auto" w:fill="auto"/>
      <w:spacing w:line="606" w:lineRule="exact"/>
      <w:ind w:firstLine="660"/>
    </w:pPr>
    <w:rPr>
      <w:rFonts w:ascii="宋体" w:hAnsi="宋体" w:eastAsia="宋体" w:cs="宋体"/>
      <w:sz w:val="30"/>
      <w:szCs w:val="30"/>
      <w:u w:val="none"/>
      <w:shd w:val="clear" w:color="auto" w:fill="auto"/>
      <w:lang w:val="zh-TW" w:eastAsia="zh-TW" w:bidi="zh-TW"/>
    </w:rPr>
  </w:style>
  <w:style w:type="character" w:customStyle="1" w:styleId="20">
    <w:name w:val="Other|1_"/>
    <w:basedOn w:val="5"/>
    <w:link w:val="21"/>
    <w:qFormat/>
    <w:uiPriority w:val="0"/>
    <w:rPr>
      <w:rFonts w:ascii="宋体" w:hAnsi="宋体" w:eastAsia="宋体" w:cs="宋体"/>
      <w:sz w:val="30"/>
      <w:szCs w:val="30"/>
      <w:u w:val="none"/>
      <w:shd w:val="clear" w:color="auto" w:fill="auto"/>
      <w:lang w:val="zh-TW" w:eastAsia="zh-TW" w:bidi="zh-TW"/>
    </w:rPr>
  </w:style>
  <w:style w:type="paragraph" w:customStyle="1" w:styleId="21">
    <w:name w:val="Other|1"/>
    <w:basedOn w:val="1"/>
    <w:link w:val="20"/>
    <w:qFormat/>
    <w:uiPriority w:val="0"/>
    <w:pPr>
      <w:widowControl w:val="0"/>
      <w:shd w:val="clear" w:color="auto" w:fill="auto"/>
      <w:spacing w:line="374" w:lineRule="auto"/>
      <w:ind w:firstLine="400"/>
    </w:pPr>
    <w:rPr>
      <w:rFonts w:ascii="宋体" w:hAnsi="宋体" w:eastAsia="宋体" w:cs="宋体"/>
      <w:sz w:val="30"/>
      <w:szCs w:val="30"/>
      <w:u w:val="none"/>
      <w:shd w:val="clear" w:color="auto" w:fill="auto"/>
      <w:lang w:val="zh-TW" w:eastAsia="zh-TW" w:bidi="zh-TW"/>
    </w:rPr>
  </w:style>
  <w:style w:type="character" w:customStyle="1" w:styleId="22">
    <w:name w:val="Body text|4_"/>
    <w:basedOn w:val="5"/>
    <w:link w:val="23"/>
    <w:qFormat/>
    <w:uiPriority w:val="0"/>
    <w:rPr>
      <w:rFonts w:ascii="宋体" w:hAnsi="宋体" w:eastAsia="宋体" w:cs="宋体"/>
      <w:sz w:val="22"/>
      <w:szCs w:val="22"/>
      <w:u w:val="none"/>
      <w:shd w:val="clear" w:color="auto" w:fill="auto"/>
      <w:lang w:val="zh-TW" w:eastAsia="zh-TW" w:bidi="zh-TW"/>
    </w:rPr>
  </w:style>
  <w:style w:type="paragraph" w:customStyle="1" w:styleId="23">
    <w:name w:val="Body text|4"/>
    <w:basedOn w:val="1"/>
    <w:link w:val="22"/>
    <w:qFormat/>
    <w:uiPriority w:val="0"/>
    <w:pPr>
      <w:widowControl w:val="0"/>
      <w:shd w:val="clear" w:color="auto" w:fill="auto"/>
      <w:spacing w:after="80"/>
    </w:pPr>
    <w:rPr>
      <w:rFonts w:ascii="宋体" w:hAnsi="宋体" w:eastAsia="宋体" w:cs="宋体"/>
      <w:sz w:val="22"/>
      <w:szCs w:val="22"/>
      <w:u w:val="none"/>
      <w:shd w:val="clear" w:color="auto" w:fill="auto"/>
      <w:lang w:val="zh-TW" w:eastAsia="zh-TW" w:bidi="zh-TW"/>
    </w:rPr>
  </w:style>
  <w:style w:type="character" w:customStyle="1" w:styleId="24">
    <w:name w:val="Heading #1|1_"/>
    <w:basedOn w:val="5"/>
    <w:link w:val="25"/>
    <w:qFormat/>
    <w:uiPriority w:val="0"/>
    <w:rPr>
      <w:rFonts w:ascii="宋体" w:hAnsi="宋体" w:eastAsia="宋体" w:cs="宋体"/>
      <w:b/>
      <w:bCs/>
      <w:sz w:val="32"/>
      <w:szCs w:val="32"/>
      <w:u w:val="none"/>
      <w:shd w:val="clear" w:color="auto" w:fill="auto"/>
      <w:lang w:val="zh-TW" w:eastAsia="zh-TW" w:bidi="zh-TW"/>
    </w:rPr>
  </w:style>
  <w:style w:type="paragraph" w:customStyle="1" w:styleId="25">
    <w:name w:val="Heading #1|1"/>
    <w:basedOn w:val="1"/>
    <w:link w:val="24"/>
    <w:uiPriority w:val="0"/>
    <w:pPr>
      <w:widowControl w:val="0"/>
      <w:shd w:val="clear" w:color="auto" w:fill="auto"/>
      <w:spacing w:after="100"/>
      <w:jc w:val="center"/>
      <w:outlineLvl w:val="0"/>
    </w:pPr>
    <w:rPr>
      <w:rFonts w:ascii="宋体" w:hAnsi="宋体" w:eastAsia="宋体" w:cs="宋体"/>
      <w:b/>
      <w:bCs/>
      <w:sz w:val="32"/>
      <w:szCs w:val="32"/>
      <w:u w:val="none"/>
      <w:shd w:val="clear" w:color="auto" w:fill="auto"/>
      <w:lang w:val="zh-TW" w:eastAsia="zh-TW" w:bidi="zh-TW"/>
    </w:rPr>
  </w:style>
  <w:style w:type="character" w:customStyle="1" w:styleId="26">
    <w:name w:val="Body text|6_"/>
    <w:basedOn w:val="5"/>
    <w:link w:val="27"/>
    <w:qFormat/>
    <w:uiPriority w:val="0"/>
    <w:rPr>
      <w:rFonts w:ascii="宋体" w:hAnsi="宋体" w:eastAsia="宋体" w:cs="宋体"/>
      <w:sz w:val="15"/>
      <w:szCs w:val="15"/>
      <w:u w:val="none"/>
      <w:shd w:val="clear" w:color="auto" w:fill="auto"/>
      <w:lang w:val="zh-TW" w:eastAsia="zh-TW" w:bidi="zh-TW"/>
    </w:rPr>
  </w:style>
  <w:style w:type="paragraph" w:customStyle="1" w:styleId="27">
    <w:name w:val="Body text|6"/>
    <w:basedOn w:val="1"/>
    <w:link w:val="26"/>
    <w:uiPriority w:val="0"/>
    <w:pPr>
      <w:widowControl w:val="0"/>
      <w:shd w:val="clear" w:color="auto" w:fill="auto"/>
      <w:spacing w:after="60"/>
    </w:pPr>
    <w:rPr>
      <w:rFonts w:ascii="宋体" w:hAnsi="宋体" w:eastAsia="宋体" w:cs="宋体"/>
      <w:sz w:val="15"/>
      <w:szCs w:val="15"/>
      <w:u w:val="none"/>
      <w:shd w:val="clear" w:color="auto" w:fill="auto"/>
      <w:lang w:val="zh-TW" w:eastAsia="zh-TW" w:bidi="zh-TW"/>
    </w:rPr>
  </w:style>
  <w:style w:type="character" w:customStyle="1" w:styleId="28">
    <w:name w:val="Heading #2|1_"/>
    <w:basedOn w:val="5"/>
    <w:link w:val="29"/>
    <w:qFormat/>
    <w:uiPriority w:val="0"/>
    <w:rPr>
      <w:rFonts w:ascii="宋体" w:hAnsi="宋体" w:eastAsia="宋体" w:cs="宋体"/>
      <w:b/>
      <w:bCs/>
      <w:sz w:val="32"/>
      <w:szCs w:val="32"/>
      <w:u w:val="none"/>
      <w:shd w:val="clear" w:color="auto" w:fill="auto"/>
      <w:lang w:val="zh-TW" w:eastAsia="zh-TW" w:bidi="zh-TW"/>
    </w:rPr>
  </w:style>
  <w:style w:type="paragraph" w:customStyle="1" w:styleId="29">
    <w:name w:val="Heading #2|1"/>
    <w:basedOn w:val="1"/>
    <w:link w:val="28"/>
    <w:qFormat/>
    <w:uiPriority w:val="0"/>
    <w:pPr>
      <w:widowControl w:val="0"/>
      <w:shd w:val="clear" w:color="auto" w:fill="auto"/>
      <w:spacing w:after="100"/>
      <w:jc w:val="center"/>
      <w:outlineLvl w:val="1"/>
    </w:pPr>
    <w:rPr>
      <w:rFonts w:ascii="宋体" w:hAnsi="宋体" w:eastAsia="宋体" w:cs="宋体"/>
      <w:b/>
      <w:bCs/>
      <w:sz w:val="32"/>
      <w:szCs w:val="32"/>
      <w:u w:val="none"/>
      <w:shd w:val="clear" w:color="auto" w:fill="auto"/>
      <w:lang w:val="zh-TW" w:eastAsia="zh-TW" w:bidi="zh-TW"/>
    </w:rPr>
  </w:style>
  <w:style w:type="table" w:customStyle="1" w:styleId="30">
    <w:name w:val="Table Normal"/>
    <w:semiHidden/>
    <w:unhideWhenUsed/>
    <w:qFormat/>
    <w:uiPriority w:val="0"/>
    <w:tblPr>
      <w:tblCellMar>
        <w:top w:w="0" w:type="dxa"/>
        <w:left w:w="0" w:type="dxa"/>
        <w:bottom w:w="0" w:type="dxa"/>
        <w:right w:w="0" w:type="dxa"/>
      </w:tblCellMar>
    </w:tblPr>
  </w:style>
  <w:style w:type="character" w:customStyle="1" w:styleId="31">
    <w:name w:val="font11"/>
    <w:basedOn w:val="5"/>
    <w:uiPriority w:val="0"/>
    <w:rPr>
      <w:rFonts w:hint="eastAsia" w:ascii="宋体" w:hAnsi="宋体" w:eastAsia="宋体" w:cs="宋体"/>
      <w:color w:val="000000"/>
      <w:sz w:val="22"/>
      <w:szCs w:val="22"/>
      <w:u w:val="none"/>
    </w:rPr>
  </w:style>
  <w:style w:type="character" w:customStyle="1" w:styleId="32">
    <w:name w:val="font61"/>
    <w:basedOn w:val="5"/>
    <w:uiPriority w:val="0"/>
    <w:rPr>
      <w:rFonts w:hint="eastAsia" w:ascii="宋体" w:hAnsi="宋体" w:eastAsia="宋体" w:cs="宋体"/>
      <w:color w:val="000000"/>
      <w:sz w:val="22"/>
      <w:szCs w:val="22"/>
      <w:u w:val="none"/>
    </w:rPr>
  </w:style>
  <w:style w:type="character" w:customStyle="1" w:styleId="33">
    <w:name w:val="font21"/>
    <w:basedOn w:val="5"/>
    <w:uiPriority w:val="0"/>
    <w:rPr>
      <w:rFonts w:hint="eastAsia" w:ascii="宋体" w:hAnsi="宋体" w:eastAsia="宋体" w:cs="宋体"/>
      <w:color w:val="000000"/>
      <w:sz w:val="18"/>
      <w:szCs w:val="18"/>
      <w:u w:val="none"/>
    </w:rPr>
  </w:style>
  <w:style w:type="paragraph" w:customStyle="1" w:styleId="34">
    <w:name w:val="〖C01〗正文"/>
    <w:basedOn w:val="1"/>
    <w:qFormat/>
    <w:uiPriority w:val="0"/>
    <w:pPr>
      <w:topLinePunct/>
      <w:spacing w:line="600" w:lineRule="exact"/>
      <w:ind w:firstLine="640" w:firstLineChars="200"/>
    </w:pPr>
    <w:rPr>
      <w:rFonts w:ascii="仿宋_GB2312" w:hAnsi="Calibri"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0" Type="http://schemas.openxmlformats.org/officeDocument/2006/relationships/fontTable" Target="fontTable.xml"/><Relationship Id="rId5" Type="http://schemas.openxmlformats.org/officeDocument/2006/relationships/footer" Target="foot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theme" Target="theme/theme1.xml"/><Relationship Id="rId46" Type="http://schemas.openxmlformats.org/officeDocument/2006/relationships/footer" Target="footer33.xml"/><Relationship Id="rId45" Type="http://schemas.openxmlformats.org/officeDocument/2006/relationships/footer" Target="footer32.xml"/><Relationship Id="rId44" Type="http://schemas.openxmlformats.org/officeDocument/2006/relationships/header" Target="header9.xml"/><Relationship Id="rId43" Type="http://schemas.openxmlformats.org/officeDocument/2006/relationships/header" Target="header8.xml"/><Relationship Id="rId42" Type="http://schemas.openxmlformats.org/officeDocument/2006/relationships/footer" Target="footer31.xml"/><Relationship Id="rId41" Type="http://schemas.openxmlformats.org/officeDocument/2006/relationships/footer" Target="footer30.xml"/><Relationship Id="rId40" Type="http://schemas.openxmlformats.org/officeDocument/2006/relationships/footer" Target="footer29.xml"/><Relationship Id="rId4" Type="http://schemas.openxmlformats.org/officeDocument/2006/relationships/endnotes" Target="endnotes.xml"/><Relationship Id="rId39" Type="http://schemas.openxmlformats.org/officeDocument/2006/relationships/header" Target="header7.xml"/><Relationship Id="rId38" Type="http://schemas.openxmlformats.org/officeDocument/2006/relationships/header" Target="header6.xml"/><Relationship Id="rId37" Type="http://schemas.openxmlformats.org/officeDocument/2006/relationships/header" Target="header5.xml"/><Relationship Id="rId36" Type="http://schemas.openxmlformats.org/officeDocument/2006/relationships/footer" Target="footer28.xml"/><Relationship Id="rId35" Type="http://schemas.openxmlformats.org/officeDocument/2006/relationships/footer" Target="footer27.xml"/><Relationship Id="rId34" Type="http://schemas.openxmlformats.org/officeDocument/2006/relationships/header" Target="header4.xml"/><Relationship Id="rId33" Type="http://schemas.openxmlformats.org/officeDocument/2006/relationships/header" Target="header3.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header" Target="header2.xml"/><Relationship Id="rId3" Type="http://schemas.openxmlformats.org/officeDocument/2006/relationships/footnotes" Target="footnotes.xml"/><Relationship Id="rId29" Type="http://schemas.openxmlformats.org/officeDocument/2006/relationships/header" Target="header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2022-05-09T05:24:00Z</dcterms:created>
  <dc:creator>administered</dc:creator>
  <cp:lastModifiedBy>一宇哥</cp:lastModifiedBy>
  <dcterms:modified xsi:type="dcterms:W3CDTF">2022-05-26T10:40:13Z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514EAB315F404FECBB503D5A2993D9BD</vt:lpwstr>
  </property>
</Properties>
</file>