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23"/>
      <w:r>
        <w:rPr>
          <w:rFonts w:hint="eastAsia" w:ascii="方正小标宋_GBK" w:hAnsi="方正小标宋_GBK" w:eastAsia="方正小标宋_GBK"/>
          <w:b w:val="0"/>
          <w:bCs w:val="0"/>
          <w:sz w:val="30"/>
        </w:rPr>
        <w:t>（二十）</w:t>
      </w:r>
      <w:r>
        <w:rPr>
          <w:rFonts w:hint="eastAsia" w:ascii="方正小标宋_GBK" w:hAnsi="方正小标宋_GBK" w:eastAsia="方正小标宋_GBK"/>
          <w:b w:val="0"/>
          <w:bCs w:val="0"/>
          <w:sz w:val="30"/>
          <w:lang w:eastAsia="zh-CN"/>
        </w:rPr>
        <w:t>夹江县</w:t>
      </w:r>
      <w:r>
        <w:rPr>
          <w:rFonts w:hint="eastAsia" w:ascii="方正小标宋_GBK" w:hAnsi="方正小标宋_GBK" w:eastAsia="方正小标宋_GBK"/>
          <w:b w:val="0"/>
          <w:bCs w:val="0"/>
          <w:sz w:val="30"/>
        </w:rPr>
        <w:t>公共文化服务领域基层政务公开标准目录</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noWrap w:val="0"/>
            <w:vAlign w:val="center"/>
          </w:tcPr>
          <w:p>
            <w:pPr>
              <w:widowControl/>
              <w:jc w:val="left"/>
              <w:rPr>
                <w:rFonts w:ascii="Times New Roman" w:hAnsi="Times New Roman"/>
                <w:color w:val="000000"/>
                <w:kern w:val="0"/>
                <w:sz w:val="22"/>
              </w:rPr>
            </w:pPr>
          </w:p>
        </w:tc>
        <w:tc>
          <w:tcPr>
            <w:tcW w:w="73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noWrap w:val="0"/>
            <w:vAlign w:val="center"/>
          </w:tcPr>
          <w:p>
            <w:pPr>
              <w:widowControl/>
              <w:jc w:val="left"/>
              <w:rPr>
                <w:rFonts w:ascii="黑体" w:hAnsi="宋体" w:eastAsia="黑体" w:cs="宋体"/>
                <w:color w:val="000000"/>
                <w:kern w:val="0"/>
                <w:sz w:val="22"/>
              </w:rPr>
            </w:pPr>
          </w:p>
        </w:tc>
        <w:tc>
          <w:tcPr>
            <w:tcW w:w="1980" w:type="dxa"/>
            <w:vMerge w:val="continue"/>
            <w:noWrap w:val="0"/>
            <w:vAlign w:val="center"/>
          </w:tcPr>
          <w:p>
            <w:pPr>
              <w:widowControl/>
              <w:jc w:val="left"/>
              <w:rPr>
                <w:rFonts w:ascii="黑体" w:hAnsi="宋体" w:eastAsia="黑体" w:cs="宋体"/>
                <w:color w:val="000000"/>
                <w:kern w:val="0"/>
                <w:sz w:val="22"/>
              </w:rPr>
            </w:pPr>
          </w:p>
        </w:tc>
        <w:tc>
          <w:tcPr>
            <w:tcW w:w="1814" w:type="dxa"/>
            <w:vMerge w:val="continue"/>
            <w:noWrap w:val="0"/>
            <w:vAlign w:val="center"/>
          </w:tcPr>
          <w:p>
            <w:pPr>
              <w:widowControl/>
              <w:jc w:val="left"/>
              <w:rPr>
                <w:rFonts w:ascii="黑体" w:hAnsi="宋体" w:eastAsia="黑体" w:cs="宋体"/>
                <w:color w:val="000000"/>
                <w:kern w:val="0"/>
                <w:sz w:val="22"/>
              </w:rPr>
            </w:pPr>
          </w:p>
        </w:tc>
        <w:tc>
          <w:tcPr>
            <w:tcW w:w="1426"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许可</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互联网上网服务营业场所经营许可</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《行政许可法》、《政府信息公开条例》、《互联网上网服务营业场所管理条例》</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文艺表演团体设立审批</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《行政许可法》、《政府信息公开条例》、《营业性演出管理条例》、《文化部关于落实“先照后证”改进文化市场行政审批工作的通知》 </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3</w:t>
            </w:r>
          </w:p>
        </w:tc>
        <w:tc>
          <w:tcPr>
            <w:tcW w:w="73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许可</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营业性演出审批</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同上</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4</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许可</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娱乐场所经营许可</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《行政许可法》；《政府信息公开条例》</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5</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县级文物保护单位建设控制地带内建设工程设计方案审批</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《行政许可法》；《政府信息公开条例》</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6</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县级文物保护单位实施原址保护措施审批</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《行政许可法》；《政府信息公开条例》</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7</w:t>
            </w:r>
          </w:p>
        </w:tc>
        <w:tc>
          <w:tcPr>
            <w:tcW w:w="734" w:type="dxa"/>
            <w:vMerge w:val="restart"/>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许可</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县级文物保护单位和未核定为文物保护单位的不可移动文物修缮审批</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《行政许可法》；《政府信息公开条例》</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8</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非国有文物收藏单位和其他单位举办展览需借用国有馆藏二级以下文物审批</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1.办事指南：内容同上;</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2.行政许可决定。</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《行政许可法》、《政府信息公开条例》</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行政审批局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■公开查阅点     ■政务服务中心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9</w:t>
            </w:r>
          </w:p>
        </w:tc>
        <w:tc>
          <w:tcPr>
            <w:tcW w:w="734" w:type="dxa"/>
            <w:vMerge w:val="restart"/>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对互联网上网服务营业场所违法行为的行政处罚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10</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对娱乐场所违法行为的行政处罚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w:t>
            </w:r>
            <w:r>
              <w:rPr>
                <w:rFonts w:hint="eastAsia" w:ascii="仿宋_GB2312" w:hAnsi="Times New Roman" w:eastAsia="仿宋_GB2312"/>
                <w:color w:val="000000"/>
                <w:sz w:val="18"/>
                <w:szCs w:val="18"/>
                <w:lang w:val="en-US" w:eastAsia="zh-CN"/>
              </w:rPr>
              <w:t>1</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对营业性演出违法行为的行政处罚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w:t>
            </w:r>
            <w:r>
              <w:rPr>
                <w:rFonts w:hint="eastAsia" w:ascii="仿宋_GB2312" w:hAnsi="Times New Roman" w:eastAsia="仿宋_GB2312"/>
                <w:color w:val="000000"/>
                <w:sz w:val="18"/>
                <w:szCs w:val="18"/>
                <w:lang w:val="en-US" w:eastAsia="zh-CN"/>
              </w:rPr>
              <w:t>2</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对艺术品经营违法行为的行政处罚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w:t>
            </w:r>
            <w:r>
              <w:rPr>
                <w:rFonts w:hint="eastAsia" w:ascii="仿宋_GB2312" w:hAnsi="Times New Roman" w:eastAsia="仿宋_GB2312"/>
                <w:color w:val="000000"/>
                <w:sz w:val="18"/>
                <w:szCs w:val="18"/>
                <w:lang w:val="en-US" w:eastAsia="zh-CN"/>
              </w:rPr>
              <w:t>3</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对网络游戏运营单位违法行为的行政处罚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14</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对社会艺术水平考级活动违法行为的行政处罚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15</w:t>
            </w:r>
          </w:p>
        </w:tc>
        <w:tc>
          <w:tcPr>
            <w:tcW w:w="734" w:type="dxa"/>
            <w:vMerge w:val="restart"/>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对互联网文化单位违法行为的行政处罚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16</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对擅自在文物保护单位的保护范围内进行建设工程或者爆破、钻探、挖掘等作业的行为进行处罚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17</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18</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对擅自迁移、拆除不可移动文物的行为进行处罚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19</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对擅自修缮不可移动文物，明显改变文物原状的行为进行处罚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r>
              <w:rPr>
                <w:rFonts w:hint="eastAsia" w:ascii="仿宋_GB2312" w:hAnsi="Times New Roman" w:eastAsia="仿宋_GB2312"/>
                <w:color w:val="000000"/>
                <w:sz w:val="18"/>
                <w:szCs w:val="18"/>
                <w:lang w:val="en-US" w:eastAsia="zh-CN"/>
              </w:rPr>
              <w:t>0</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对擅自在原址重建已全部毁坏的不可移动文物，造成文物破坏的行为进行处罚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r>
              <w:rPr>
                <w:rFonts w:hint="eastAsia" w:ascii="仿宋_GB2312" w:hAnsi="Times New Roman" w:eastAsia="仿宋_GB2312"/>
                <w:color w:val="000000"/>
                <w:sz w:val="18"/>
                <w:szCs w:val="18"/>
                <w:lang w:val="en-US" w:eastAsia="zh-CN"/>
              </w:rPr>
              <w:t>1</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对施工单位未取得文物保护工程资质证书，擅自从事文物修缮、迁移、重建的行为进行处罚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22</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对转让或者抵押国有不可移动文物的行为进行处罚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r>
              <w:rPr>
                <w:rFonts w:hint="eastAsia" w:ascii="仿宋_GB2312" w:hAnsi="Times New Roman" w:eastAsia="仿宋_GB2312"/>
                <w:color w:val="000000"/>
                <w:sz w:val="18"/>
                <w:szCs w:val="18"/>
                <w:lang w:val="en-US" w:eastAsia="zh-CN"/>
              </w:rPr>
              <w:t>3</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对将国有不可移动文物作为企业资产经营的行为进行处罚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color w:val="000000"/>
                <w:sz w:val="18"/>
                <w:szCs w:val="18"/>
                <w:lang w:val="en-US" w:eastAsia="zh-CN"/>
              </w:rPr>
              <w:t>24</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对将非国有不可移动文物转让或者抵押给外国人的行为进行处罚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r>
              <w:rPr>
                <w:rFonts w:hint="eastAsia" w:ascii="仿宋_GB2312" w:hAnsi="Times New Roman" w:eastAsia="仿宋_GB2312"/>
                <w:color w:val="000000"/>
                <w:sz w:val="18"/>
                <w:szCs w:val="18"/>
                <w:lang w:val="en-US" w:eastAsia="zh-CN"/>
              </w:rPr>
              <w:t>5</w:t>
            </w:r>
          </w:p>
        </w:tc>
        <w:tc>
          <w:tcPr>
            <w:tcW w:w="734" w:type="dxa"/>
            <w:vMerge w:val="restart"/>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对擅自改变国有文物保护单位用途的行为进行处罚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r>
              <w:rPr>
                <w:rFonts w:hint="eastAsia" w:ascii="仿宋_GB2312" w:hAnsi="Times New Roman" w:eastAsia="仿宋_GB2312"/>
                <w:color w:val="000000"/>
                <w:sz w:val="18"/>
                <w:szCs w:val="18"/>
                <w:lang w:val="en-US" w:eastAsia="zh-CN"/>
              </w:rPr>
              <w:t>6</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对文物收藏单位未按照国家有关规定配备防火、防盗、防自然损坏的设施的行为进行处罚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2</w:t>
            </w:r>
            <w:r>
              <w:rPr>
                <w:rFonts w:hint="eastAsia" w:ascii="仿宋_GB2312" w:hAnsi="Times New Roman" w:eastAsia="仿宋_GB2312"/>
                <w:color w:val="000000"/>
                <w:sz w:val="18"/>
                <w:szCs w:val="18"/>
                <w:lang w:val="en-US" w:eastAsia="zh-CN"/>
              </w:rPr>
              <w:t>7</w:t>
            </w:r>
          </w:p>
        </w:tc>
        <w:tc>
          <w:tcPr>
            <w:tcW w:w="734" w:type="dxa"/>
            <w:vMerge w:val="restart"/>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对国有文物收藏单位法定代表人离任时未按照馆藏文物档案移交馆藏文物，或者所移交的馆藏文物与馆藏文物档案不符的行为进行处罚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val="en-US" w:eastAsia="zh-CN"/>
              </w:rPr>
            </w:pPr>
            <w:r>
              <w:rPr>
                <w:rFonts w:hint="eastAsia" w:ascii="仿宋_GB2312" w:hAnsi="Times New Roman" w:eastAsia="仿宋_GB2312"/>
                <w:color w:val="000000"/>
                <w:sz w:val="18"/>
                <w:szCs w:val="18"/>
                <w:lang w:val="en-US" w:eastAsia="zh-CN"/>
              </w:rPr>
              <w:t>28</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对将国有馆藏文物赠与、出租或者出售给其他单位、个人的行为进行处罚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val="en-US" w:eastAsia="zh-CN"/>
              </w:rPr>
            </w:pPr>
            <w:r>
              <w:rPr>
                <w:rFonts w:hint="eastAsia" w:ascii="仿宋_GB2312" w:hAnsi="Times New Roman" w:eastAsia="仿宋_GB2312"/>
                <w:color w:val="000000"/>
                <w:sz w:val="18"/>
                <w:szCs w:val="18"/>
                <w:lang w:val="en-US" w:eastAsia="zh-CN"/>
              </w:rPr>
              <w:t>29</w:t>
            </w:r>
          </w:p>
        </w:tc>
        <w:tc>
          <w:tcPr>
            <w:tcW w:w="734" w:type="dxa"/>
            <w:vMerge w:val="restart"/>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对违法借用、交换、处置国有馆藏文物的行为进行处罚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0</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对违法挪用或者侵占依法调拨、交换、出借文物所得补偿费用的行为进行处罚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1</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对发现文物隐匿不报，或者拒不上交的行为进行处罚</w:t>
            </w:r>
          </w:p>
        </w:tc>
        <w:tc>
          <w:tcPr>
            <w:tcW w:w="1786"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jc w:val="center"/>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2</w:t>
            </w:r>
          </w:p>
        </w:tc>
        <w:tc>
          <w:tcPr>
            <w:tcW w:w="734" w:type="dxa"/>
            <w:vMerge w:val="restart"/>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对未按照规定移交拣选文物的行为进行处罚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3</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对未取得相应等级的文物保护工程资质证书，擅自承担文物保护单位的修缮、迁移、重建工程逾期不改正，或者造成严重后果的行为进行处罚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4</w:t>
            </w:r>
          </w:p>
        </w:tc>
        <w:tc>
          <w:tcPr>
            <w:tcW w:w="734" w:type="dxa"/>
            <w:vMerge w:val="restart"/>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处罚</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对未取得资质证书，擅自从事馆藏文物的修复、复制、拓印活动的行为进行处罚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5</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对擅自修复、复制、拓印馆藏珍贵文物的行为进行处罚</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3.处罚依据；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4.处罚结果。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《政府信息公开条例》、《国务院办公厅关于全面推行行政执法公示制度执法全过程记录制度重大执法决定法制审核制度的指导意见》</w:t>
            </w:r>
          </w:p>
        </w:tc>
        <w:tc>
          <w:tcPr>
            <w:tcW w:w="1814" w:type="dxa"/>
            <w:noWrap w:val="0"/>
            <w:vAlign w:val="top"/>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执法决定信息在决定作出之日起7个工作日内公开，其他相关信息形成或变更之日起20个工作日内公开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6</w:t>
            </w:r>
          </w:p>
        </w:tc>
        <w:tc>
          <w:tcPr>
            <w:tcW w:w="73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行政</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强制</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对擅自从事互联网上网服务经营活动场所的查封，专用工具、设备的扣押</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1.主体信息；</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2.案由；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3.处理依据；</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4.处理结果。</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■政府网站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3</w:t>
            </w:r>
            <w:r>
              <w:rPr>
                <w:rFonts w:hint="eastAsia" w:ascii="仿宋_GB2312" w:hAnsi="Times New Roman" w:eastAsia="仿宋_GB2312"/>
                <w:color w:val="000000"/>
                <w:sz w:val="18"/>
                <w:szCs w:val="18"/>
                <w:lang w:val="en-US" w:eastAsia="zh-CN"/>
              </w:rPr>
              <w:t>7</w:t>
            </w:r>
          </w:p>
        </w:tc>
        <w:tc>
          <w:tcPr>
            <w:tcW w:w="734" w:type="dxa"/>
            <w:vMerge w:val="restart"/>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公共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服务</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公共文化机构免费开放信息</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1.机构名称；</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2.开放时间；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3.机构地址；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5.临时停止开放信息。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val="en-US" w:eastAsia="zh-CN"/>
              </w:rPr>
            </w:pPr>
            <w:r>
              <w:rPr>
                <w:rFonts w:hint="eastAsia" w:ascii="仿宋_GB2312" w:hAnsi="Times New Roman" w:eastAsia="仿宋_GB2312"/>
                <w:color w:val="000000"/>
                <w:sz w:val="18"/>
                <w:szCs w:val="18"/>
                <w:lang w:val="en-US" w:eastAsia="zh-CN"/>
              </w:rPr>
              <w:t>38</w:t>
            </w:r>
          </w:p>
        </w:tc>
        <w:tc>
          <w:tcPr>
            <w:tcW w:w="734" w:type="dxa"/>
            <w:vMerge w:val="continue"/>
            <w:noWrap w:val="0"/>
            <w:vAlign w:val="center"/>
          </w:tcPr>
          <w:p>
            <w:pPr>
              <w:spacing w:line="240" w:lineRule="exact"/>
              <w:rPr>
                <w:rFonts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特殊群体公共文化服务信息</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1.机构名称；</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2.开放时间；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3.机构地址；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5.临时停止开放信息。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《残疾人保障法》、《政府信息公开条例》、《中共中央办公厅 国务院办公厅印发关于加快构建现代公共文化服务体系的意见》</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rPr>
              <w:t>文体旅游局、</w:t>
            </w: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rPr>
              <w:t>民政局、团</w:t>
            </w:r>
            <w:r>
              <w:rPr>
                <w:rFonts w:hint="eastAsia" w:ascii="仿宋_GB2312" w:hAnsi="Times New Roman" w:eastAsia="仿宋_GB2312"/>
                <w:color w:val="000000"/>
                <w:sz w:val="18"/>
                <w:szCs w:val="18"/>
                <w:lang w:eastAsia="zh-CN"/>
              </w:rPr>
              <w:t>县</w:t>
            </w:r>
            <w:r>
              <w:rPr>
                <w:rFonts w:hint="eastAsia" w:ascii="仿宋_GB2312" w:hAnsi="Times New Roman" w:eastAsia="仿宋_GB2312"/>
                <w:color w:val="000000"/>
                <w:sz w:val="18"/>
                <w:szCs w:val="18"/>
              </w:rPr>
              <w:t>委、</w:t>
            </w:r>
            <w:r>
              <w:rPr>
                <w:rFonts w:hint="eastAsia" w:ascii="仿宋_GB2312" w:hAnsi="Times New Roman" w:eastAsia="仿宋_GB2312"/>
                <w:color w:val="000000"/>
                <w:sz w:val="18"/>
                <w:szCs w:val="18"/>
                <w:lang w:eastAsia="zh-CN"/>
              </w:rPr>
              <w:t>县总</w:t>
            </w:r>
            <w:r>
              <w:rPr>
                <w:rFonts w:hint="eastAsia" w:ascii="仿宋_GB2312" w:hAnsi="Times New Roman" w:eastAsia="仿宋_GB2312"/>
                <w:color w:val="000000"/>
                <w:sz w:val="18"/>
                <w:szCs w:val="18"/>
              </w:rPr>
              <w:t>工会、</w:t>
            </w:r>
            <w:r>
              <w:rPr>
                <w:rFonts w:hint="eastAsia" w:ascii="仿宋_GB2312" w:hAnsi="Times New Roman" w:eastAsia="仿宋_GB2312"/>
                <w:color w:val="000000"/>
                <w:sz w:val="18"/>
                <w:szCs w:val="18"/>
                <w:lang w:eastAsia="zh-CN"/>
              </w:rPr>
              <w:t>县</w:t>
            </w:r>
            <w:r>
              <w:rPr>
                <w:rFonts w:hint="eastAsia" w:ascii="仿宋_GB2312" w:hAnsi="Times New Roman" w:eastAsia="仿宋_GB2312"/>
                <w:color w:val="000000"/>
                <w:sz w:val="18"/>
                <w:szCs w:val="18"/>
              </w:rPr>
              <w:t>妇联、</w:t>
            </w:r>
            <w:r>
              <w:rPr>
                <w:rFonts w:hint="eastAsia" w:ascii="仿宋_GB2312" w:hAnsi="Times New Roman" w:eastAsia="仿宋_GB2312"/>
                <w:color w:val="000000"/>
                <w:sz w:val="18"/>
                <w:szCs w:val="18"/>
                <w:lang w:eastAsia="zh-CN"/>
              </w:rPr>
              <w:t>县</w:t>
            </w:r>
            <w:r>
              <w:rPr>
                <w:rFonts w:hint="eastAsia" w:ascii="仿宋_GB2312" w:hAnsi="Times New Roman" w:eastAsia="仿宋_GB2312"/>
                <w:color w:val="000000"/>
                <w:sz w:val="18"/>
                <w:szCs w:val="18"/>
              </w:rPr>
              <w:t>残联（特殊群体机构涉及多个单位）</w:t>
            </w:r>
          </w:p>
        </w:tc>
        <w:tc>
          <w:tcPr>
            <w:tcW w:w="1440"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hint="eastAsia" w:ascii="仿宋_GB2312" w:hAnsi="Times New Roman" w:eastAsia="仿宋_GB2312"/>
                <w:color w:val="000000"/>
                <w:sz w:val="18"/>
                <w:szCs w:val="18"/>
                <w:lang w:val="en-US" w:eastAsia="zh-CN"/>
              </w:rPr>
            </w:pPr>
            <w:r>
              <w:rPr>
                <w:rFonts w:hint="eastAsia" w:ascii="仿宋_GB2312" w:hAnsi="Times New Roman" w:eastAsia="仿宋_GB2312"/>
                <w:color w:val="000000"/>
                <w:sz w:val="18"/>
                <w:szCs w:val="18"/>
                <w:lang w:val="en-US" w:eastAsia="zh-CN"/>
              </w:rPr>
              <w:t>39</w:t>
            </w:r>
          </w:p>
        </w:tc>
        <w:tc>
          <w:tcPr>
            <w:tcW w:w="734" w:type="dxa"/>
            <w:vMerge w:val="restart"/>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公共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服务</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组织开展群众文化活动</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1.机构名称；</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2.开放时间；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3.机构地址；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5.临时停止活动信息。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《政府信息公开条例》、《文化馆服务标准》</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4</w:t>
            </w:r>
            <w:r>
              <w:rPr>
                <w:rFonts w:hint="eastAsia" w:ascii="仿宋_GB2312" w:hAnsi="Times New Roman" w:eastAsia="仿宋_GB2312"/>
                <w:color w:val="000000"/>
                <w:sz w:val="18"/>
                <w:szCs w:val="18"/>
                <w:lang w:val="en-US" w:eastAsia="zh-CN"/>
              </w:rPr>
              <w:t>0</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下基层辅导、演出、展览和指导基层群众文化活动</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1.活动时间；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2.活动单位；</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3.活动地址；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5.临时停止活动信息。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《政府信息公开条例》、《文化馆服务标准》</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4</w:t>
            </w:r>
            <w:r>
              <w:rPr>
                <w:rFonts w:hint="eastAsia" w:ascii="仿宋_GB2312" w:hAnsi="Times New Roman" w:eastAsia="仿宋_GB2312"/>
                <w:color w:val="000000"/>
                <w:sz w:val="18"/>
                <w:szCs w:val="18"/>
                <w:lang w:val="en-US" w:eastAsia="zh-CN"/>
              </w:rPr>
              <w:t>1</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举办各类展览、讲座信息</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1.活动时间；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2.活动单位；</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3.活动地址；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5.临时停止活动信息。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《政府信息公开条例》、《乡镇综合文化站管理办法》</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4</w:t>
            </w:r>
            <w:r>
              <w:rPr>
                <w:rFonts w:hint="eastAsia" w:ascii="仿宋_GB2312" w:hAnsi="Times New Roman" w:eastAsia="仿宋_GB2312"/>
                <w:color w:val="000000"/>
                <w:sz w:val="18"/>
                <w:szCs w:val="18"/>
                <w:lang w:val="en-US" w:eastAsia="zh-CN"/>
              </w:rPr>
              <w:t>2</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辅导和培训基层文化骨干</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1.培训时间；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2.培训单位；</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3.培训地址；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5.临时停止活动信息。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《政府信息公开条例》、《乡镇综合文化站管理办法》</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4</w:t>
            </w:r>
            <w:r>
              <w:rPr>
                <w:rFonts w:hint="eastAsia" w:ascii="仿宋_GB2312" w:hAnsi="Times New Roman" w:eastAsia="仿宋_GB2312"/>
                <w:color w:val="000000"/>
                <w:sz w:val="18"/>
                <w:szCs w:val="18"/>
                <w:lang w:val="en-US" w:eastAsia="zh-CN"/>
              </w:rPr>
              <w:t>3</w:t>
            </w:r>
          </w:p>
        </w:tc>
        <w:tc>
          <w:tcPr>
            <w:tcW w:w="734" w:type="dxa"/>
            <w:vMerge w:val="continue"/>
            <w:noWrap w:val="0"/>
            <w:vAlign w:val="center"/>
          </w:tcPr>
          <w:p>
            <w:pPr>
              <w:spacing w:line="240" w:lineRule="exact"/>
              <w:rPr>
                <w:rFonts w:hint="eastAsia" w:ascii="仿宋_GB2312" w:hAnsi="Times New Roman" w:eastAsia="仿宋_GB2312"/>
                <w:color w:val="000000"/>
                <w:sz w:val="18"/>
                <w:szCs w:val="18"/>
              </w:rPr>
            </w:pP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非物质文化遗产展示传播活动</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1.活动时间；</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2.组织单位；</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3.活动地址；</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4.联系电话；</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5.临时停止活动信息。</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xml:space="preserve">《非物质文化遗产法》、《政府信息公开条例》  </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4</w:t>
            </w:r>
            <w:r>
              <w:rPr>
                <w:rFonts w:hint="eastAsia" w:ascii="仿宋_GB2312" w:hAnsi="Times New Roman" w:eastAsia="仿宋_GB2312"/>
                <w:color w:val="000000"/>
                <w:sz w:val="18"/>
                <w:szCs w:val="18"/>
                <w:lang w:val="en-US" w:eastAsia="zh-CN"/>
              </w:rPr>
              <w:t>4</w:t>
            </w:r>
          </w:p>
        </w:tc>
        <w:tc>
          <w:tcPr>
            <w:tcW w:w="734" w:type="dxa"/>
            <w:noWrap w:val="0"/>
            <w:vAlign w:val="center"/>
          </w:tcPr>
          <w:p>
            <w:pPr>
              <w:spacing w:line="240" w:lineRule="exact"/>
              <w:rPr>
                <w:rFonts w:hint="eastAsia" w:ascii="仿宋_GB2312" w:hAnsi="Times New Roman" w:eastAsia="仿宋_GB2312"/>
                <w:color w:val="000000"/>
                <w:sz w:val="18"/>
                <w:szCs w:val="18"/>
              </w:rPr>
            </w:pPr>
            <w:r>
              <w:rPr>
                <w:rFonts w:hint="eastAsia" w:ascii="仿宋_GB2312" w:hAnsi="Times New Roman" w:eastAsia="仿宋_GB2312"/>
                <w:color w:val="000000"/>
                <w:sz w:val="18"/>
                <w:szCs w:val="18"/>
              </w:rPr>
              <w:t>公共</w:t>
            </w:r>
            <w:r>
              <w:rPr>
                <w:rFonts w:hint="eastAsia" w:ascii="仿宋_GB2312" w:hAnsi="Times New Roman" w:eastAsia="仿宋_GB2312"/>
                <w:color w:val="000000"/>
                <w:sz w:val="18"/>
                <w:szCs w:val="18"/>
              </w:rPr>
              <w:br w:type="textWrapping"/>
            </w:r>
            <w:r>
              <w:rPr>
                <w:rFonts w:hint="eastAsia" w:ascii="仿宋_GB2312" w:hAnsi="Times New Roman" w:eastAsia="仿宋_GB2312"/>
                <w:color w:val="000000"/>
                <w:sz w:val="18"/>
                <w:szCs w:val="18"/>
              </w:rPr>
              <w:t>服务</w:t>
            </w:r>
          </w:p>
        </w:tc>
        <w:tc>
          <w:tcPr>
            <w:tcW w:w="16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文博单位名录</w:t>
            </w:r>
          </w:p>
        </w:tc>
        <w:tc>
          <w:tcPr>
            <w:tcW w:w="1786"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文物保护管理机构和博物馆名录</w:t>
            </w:r>
          </w:p>
        </w:tc>
        <w:tc>
          <w:tcPr>
            <w:tcW w:w="198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《政府信息公开条例》</w:t>
            </w:r>
          </w:p>
        </w:tc>
        <w:tc>
          <w:tcPr>
            <w:tcW w:w="1814"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信息形成或变更之日起20个工作日内公开</w:t>
            </w:r>
          </w:p>
        </w:tc>
        <w:tc>
          <w:tcPr>
            <w:tcW w:w="1426" w:type="dxa"/>
            <w:noWrap w:val="0"/>
            <w:vAlign w:val="center"/>
          </w:tcPr>
          <w:p>
            <w:pPr>
              <w:spacing w:line="240" w:lineRule="exact"/>
              <w:rPr>
                <w:rFonts w:hint="eastAsia" w:ascii="仿宋_GB2312" w:hAnsi="Times New Roman" w:eastAsia="仿宋_GB2312"/>
                <w:color w:val="000000"/>
                <w:sz w:val="18"/>
                <w:szCs w:val="18"/>
                <w:lang w:eastAsia="zh-CN"/>
              </w:rPr>
            </w:pPr>
            <w:r>
              <w:rPr>
                <w:rFonts w:hint="eastAsia" w:ascii="仿宋_GB2312" w:hAnsi="Times New Roman" w:eastAsia="仿宋_GB2312"/>
                <w:sz w:val="18"/>
                <w:szCs w:val="18"/>
                <w:lang w:eastAsia="zh-CN"/>
              </w:rPr>
              <w:t>夹江县</w:t>
            </w:r>
            <w:r>
              <w:rPr>
                <w:rFonts w:hint="eastAsia" w:ascii="仿宋_GB2312" w:hAnsi="Times New Roman" w:eastAsia="仿宋_GB2312"/>
                <w:color w:val="000000"/>
                <w:sz w:val="18"/>
                <w:szCs w:val="18"/>
                <w:lang w:eastAsia="zh-CN"/>
              </w:rPr>
              <w:t>文化体育和旅游局</w:t>
            </w:r>
          </w:p>
        </w:tc>
        <w:tc>
          <w:tcPr>
            <w:tcW w:w="144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■政府网站</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09"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551"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　</w:t>
            </w:r>
          </w:p>
        </w:tc>
        <w:tc>
          <w:tcPr>
            <w:tcW w:w="720" w:type="dxa"/>
            <w:noWrap w:val="0"/>
            <w:vAlign w:val="center"/>
          </w:tcPr>
          <w:p>
            <w:pPr>
              <w:spacing w:line="240" w:lineRule="exact"/>
              <w:rPr>
                <w:rFonts w:ascii="仿宋_GB2312" w:hAnsi="Times New Roman" w:eastAsia="仿宋_GB2312"/>
                <w:color w:val="000000"/>
                <w:sz w:val="18"/>
                <w:szCs w:val="18"/>
              </w:rPr>
            </w:pPr>
            <w:r>
              <w:rPr>
                <w:rFonts w:hint="eastAsia" w:ascii="仿宋_GB2312" w:hAnsi="Times New Roman" w:eastAsia="仿宋_GB2312"/>
                <w:color w:val="000000"/>
                <w:sz w:val="18"/>
                <w:szCs w:val="18"/>
              </w:rPr>
              <w:t>√</w:t>
            </w:r>
          </w:p>
        </w:tc>
        <w:tc>
          <w:tcPr>
            <w:tcW w:w="720" w:type="dxa"/>
            <w:noWrap w:val="0"/>
            <w:vAlign w:val="center"/>
          </w:tcPr>
          <w:p>
            <w:pPr>
              <w:spacing w:line="240" w:lineRule="exact"/>
              <w:rPr>
                <w:rFonts w:ascii="仿宋_GB2312" w:hAnsi="Times New Roman"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60B2D"/>
    <w:rsid w:val="60C22D13"/>
    <w:rsid w:val="7AC0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2020-09-01T06:59:00Z</dcterms:created>
  <dc:creator>Administrator</dc:creator>
  <cp:lastModifiedBy>Administrator</cp:lastModifiedBy>
  <dcterms:modified xsi:type="dcterms:W3CDTF">2020-09-25T09:19:17Z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