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r>
        <w:rPr>
          <w:rFonts w:hint="eastAsia" w:ascii="方正小标宋_GBK" w:hAnsi="方正小标宋_GBK" w:eastAsia="方正小标宋_GBK"/>
          <w:b w:val="0"/>
          <w:bCs w:val="0"/>
          <w:sz w:val="30"/>
        </w:rPr>
        <w:t>（二十二）</w:t>
      </w:r>
      <w:r>
        <w:rPr>
          <w:rFonts w:hint="eastAsia" w:ascii="方正小标宋_GBK" w:hAnsi="方正小标宋_GBK" w:eastAsia="方正小标宋_GBK"/>
          <w:b w:val="0"/>
          <w:bCs w:val="0"/>
          <w:sz w:val="30"/>
          <w:lang w:eastAsia="zh-CN"/>
        </w:rPr>
        <w:t>夹江县</w:t>
      </w:r>
      <w:bookmarkStart w:id="0" w:name="_GoBack"/>
      <w:bookmarkEnd w:id="0"/>
      <w:r>
        <w:rPr>
          <w:rFonts w:hint="eastAsia" w:ascii="方正小标宋_GBK" w:hAnsi="方正小标宋_GBK" w:eastAsia="方正小标宋_GBK"/>
          <w:b w:val="0"/>
          <w:bCs w:val="0"/>
          <w:sz w:val="30"/>
        </w:rPr>
        <w:t>安全生产领域基层政务公开标准目录</w:t>
      </w:r>
    </w:p>
    <w:tbl>
      <w:tblPr>
        <w:tblStyle w:val="3"/>
        <w:tblW w:w="0" w:type="auto"/>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40" w:type="dxa"/>
            <w:vMerge w:val="restart"/>
            <w:noWrap w:val="0"/>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noWrap w:val="0"/>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540" w:type="dxa"/>
            <w:vMerge w:val="continue"/>
            <w:noWrap w:val="0"/>
            <w:vAlign w:val="center"/>
          </w:tcPr>
          <w:p>
            <w:pPr>
              <w:widowControl/>
              <w:jc w:val="center"/>
              <w:rPr>
                <w:rFonts w:hint="eastAsia" w:ascii="仿宋_GB2312" w:hAnsi="Times New Roman" w:eastAsia="仿宋_GB2312"/>
                <w:color w:val="000000"/>
                <w:kern w:val="0"/>
                <w:sz w:val="18"/>
                <w:szCs w:val="18"/>
              </w:rPr>
            </w:pPr>
          </w:p>
        </w:tc>
        <w:tc>
          <w:tcPr>
            <w:tcW w:w="90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2520" w:type="dxa"/>
            <w:vMerge w:val="continue"/>
            <w:noWrap w:val="0"/>
            <w:vAlign w:val="center"/>
          </w:tcPr>
          <w:p>
            <w:pPr>
              <w:widowControl/>
              <w:jc w:val="left"/>
              <w:rPr>
                <w:rFonts w:hint="eastAsia" w:ascii="黑体" w:hAnsi="宋体" w:eastAsia="黑体" w:cs="宋体"/>
                <w:color w:val="000000"/>
                <w:kern w:val="0"/>
                <w:sz w:val="22"/>
              </w:rPr>
            </w:pPr>
          </w:p>
        </w:tc>
        <w:tc>
          <w:tcPr>
            <w:tcW w:w="1800" w:type="dxa"/>
            <w:vMerge w:val="continue"/>
            <w:noWrap w:val="0"/>
            <w:vAlign w:val="center"/>
          </w:tcPr>
          <w:p>
            <w:pPr>
              <w:widowControl/>
              <w:jc w:val="left"/>
              <w:rPr>
                <w:rFonts w:hint="eastAsia" w:ascii="黑体" w:hAnsi="宋体" w:eastAsia="黑体" w:cs="宋体"/>
                <w:color w:val="000000"/>
                <w:kern w:val="0"/>
                <w:sz w:val="22"/>
              </w:rPr>
            </w:pPr>
          </w:p>
        </w:tc>
        <w:tc>
          <w:tcPr>
            <w:tcW w:w="900" w:type="dxa"/>
            <w:vMerge w:val="continue"/>
            <w:noWrap w:val="0"/>
            <w:vAlign w:val="center"/>
          </w:tcPr>
          <w:p>
            <w:pPr>
              <w:widowControl/>
              <w:jc w:val="center"/>
              <w:rPr>
                <w:rFonts w:hint="eastAsia" w:ascii="黑体" w:hAnsi="宋体" w:eastAsia="黑体" w:cs="宋体"/>
                <w:color w:val="000000"/>
                <w:kern w:val="0"/>
                <w:sz w:val="22"/>
              </w:rPr>
            </w:pPr>
          </w:p>
        </w:tc>
        <w:tc>
          <w:tcPr>
            <w:tcW w:w="1496" w:type="dxa"/>
            <w:vMerge w:val="continue"/>
            <w:noWrap w:val="0"/>
            <w:vAlign w:val="center"/>
          </w:tcPr>
          <w:p>
            <w:pPr>
              <w:widowControl/>
              <w:jc w:val="left"/>
              <w:rPr>
                <w:rFonts w:hint="eastAsia" w:ascii="黑体" w:hAnsi="宋体" w:eastAsia="黑体" w:cs="宋体"/>
                <w:kern w:val="0"/>
                <w:sz w:val="22"/>
              </w:rPr>
            </w:pPr>
          </w:p>
        </w:tc>
        <w:tc>
          <w:tcPr>
            <w:tcW w:w="664"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noWrap w:val="0"/>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lang w:eastAsia="zh-CN"/>
              </w:rPr>
            </w:pPr>
            <w:r>
              <w:rPr>
                <w:rFonts w:hint="eastAsia" w:ascii="仿宋_GB2312" w:eastAsia="仿宋_GB2312"/>
                <w:bCs/>
                <w:sz w:val="18"/>
                <w:szCs w:val="18"/>
                <w:lang w:eastAsia="zh-CN"/>
              </w:rPr>
              <w:t>夹江县应急管理局</w:t>
            </w:r>
          </w:p>
        </w:tc>
        <w:tc>
          <w:tcPr>
            <w:tcW w:w="1496" w:type="dxa"/>
            <w:vMerge w:val="restart"/>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4</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标准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安全生产领域有关的国家标准、行业标准、地方标准等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vMerge w:val="continue"/>
            <w:noWrap w:val="0"/>
            <w:vAlign w:val="center"/>
          </w:tcPr>
          <w:p>
            <w:pPr>
              <w:spacing w:line="240" w:lineRule="exact"/>
              <w:jc w:val="left"/>
              <w:rPr>
                <w:rFonts w:hint="eastAsia" w:ascii="仿宋_GB2312" w:eastAsia="仿宋_GB2312"/>
                <w:sz w:val="18"/>
                <w:szCs w:val="18"/>
              </w:rPr>
            </w:pP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6</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noWrap w:val="0"/>
            <w:vAlign w:val="top"/>
          </w:tcPr>
          <w:p>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noWrap w:val="0"/>
            <w:vAlign w:val="top"/>
          </w:tcPr>
          <w:p>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noWrap w:val="0"/>
            <w:vAlign w:val="top"/>
          </w:tcPr>
          <w:p>
            <w:r>
              <w:rPr>
                <w:rFonts w:hint="eastAsia" w:ascii="仿宋_GB2312" w:eastAsia="仿宋_GB2312"/>
                <w:bCs/>
                <w:color w:val="000000"/>
                <w:sz w:val="18"/>
                <w:szCs w:val="18"/>
              </w:rPr>
              <w:t>《政府信息公开条例》、《关于全面推进政务公开工作的意见》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依法</w:t>
            </w:r>
          </w:p>
          <w:p>
            <w:pPr>
              <w:rPr>
                <w:rFonts w:hint="eastAsia" w:ascii="仿宋_GB2312" w:eastAsia="仿宋_GB2312"/>
                <w:bCs/>
                <w:color w:val="000000"/>
                <w:sz w:val="18"/>
                <w:szCs w:val="18"/>
              </w:rPr>
            </w:pPr>
            <w:r>
              <w:rPr>
                <w:rFonts w:hint="eastAsia" w:ascii="仿宋_GB2312" w:eastAsia="仿宋_GB2312"/>
                <w:bCs/>
                <w:color w:val="000000"/>
                <w:sz w:val="18"/>
                <w:szCs w:val="18"/>
              </w:rPr>
              <w:t>行政</w:t>
            </w:r>
          </w:p>
        </w:tc>
        <w:tc>
          <w:tcPr>
            <w:tcW w:w="108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行政许可</w:t>
            </w:r>
          </w:p>
        </w:tc>
        <w:tc>
          <w:tcPr>
            <w:tcW w:w="25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eastAsia="仿宋_GB2312"/>
                <w:bCs/>
                <w:color w:val="000000"/>
                <w:sz w:val="18"/>
                <w:szCs w:val="18"/>
                <w:lang w:eastAsia="zh-CN"/>
              </w:rPr>
            </w:pPr>
            <w:r>
              <w:rPr>
                <w:rFonts w:hint="eastAsia" w:ascii="仿宋_GB2312" w:eastAsia="仿宋_GB2312"/>
                <w:bCs/>
                <w:sz w:val="18"/>
                <w:szCs w:val="18"/>
                <w:lang w:eastAsia="zh-CN"/>
              </w:rPr>
              <w:t>夹江县</w:t>
            </w:r>
            <w:r>
              <w:rPr>
                <w:rFonts w:hint="eastAsia" w:ascii="仿宋_GB2312" w:eastAsia="仿宋_GB2312"/>
                <w:bCs/>
                <w:color w:val="000000"/>
                <w:sz w:val="18"/>
                <w:szCs w:val="18"/>
                <w:lang w:eastAsia="zh-CN"/>
              </w:rPr>
              <w:t>行政审批局</w:t>
            </w:r>
          </w:p>
        </w:tc>
        <w:tc>
          <w:tcPr>
            <w:tcW w:w="1496"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■政府网站   </w:t>
            </w:r>
            <w:r>
              <w:rPr>
                <w:rFonts w:hint="eastAsia" w:ascii="仿宋_GB2312" w:eastAsia="仿宋_GB2312"/>
                <w:bCs/>
                <w:color w:val="000000"/>
                <w:sz w:val="18"/>
                <w:szCs w:val="18"/>
              </w:rPr>
              <w:br w:type="textWrapping"/>
            </w:r>
            <w:r>
              <w:rPr>
                <w:rFonts w:hint="eastAsia" w:ascii="仿宋_GB2312" w:eastAsia="仿宋_GB2312"/>
                <w:bCs/>
                <w:color w:val="000000"/>
                <w:sz w:val="18"/>
                <w:szCs w:val="18"/>
              </w:rPr>
              <w:t>■两微一端   ■公开查阅点 ■政务服务中心</w:t>
            </w:r>
          </w:p>
        </w:tc>
        <w:tc>
          <w:tcPr>
            <w:tcW w:w="664"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7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w:t>
            </w:r>
          </w:p>
        </w:tc>
        <w:tc>
          <w:tcPr>
            <w:tcW w:w="540" w:type="dxa"/>
            <w:noWrap w:val="0"/>
            <w:vAlign w:val="center"/>
          </w:tcPr>
          <w:p>
            <w:pPr>
              <w:rPr>
                <w:rFonts w:hint="eastAsia" w:ascii="仿宋_GB2312" w:hAnsi="宋体" w:eastAsia="仿宋_GB2312" w:cs="宋体"/>
                <w:bCs/>
                <w:color w:val="FF0000"/>
                <w:sz w:val="18"/>
                <w:szCs w:val="18"/>
              </w:rPr>
            </w:pPr>
            <w:r>
              <w:rPr>
                <w:rFonts w:hint="eastAsia" w:ascii="仿宋_GB2312" w:eastAsia="仿宋_GB2312"/>
                <w:bCs/>
                <w:color w:val="FF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10</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行政处罚</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11</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《政府信息公开条例》、《突发事件应对法》、《突发事件应急预案管理办法》、《中共中央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《政府信息公开条例》、《突发事件应对法》、《关于全面加强政务公开工作的意见》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□公示栏</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《政府信息公开条例》、《社会信用体系建设规划纲要（2014-2020年）》</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noWrap w:val="0"/>
            <w:vAlign w:val="center"/>
          </w:tcPr>
          <w:p>
            <w:pPr>
              <w:jc w:val="left"/>
              <w:rPr>
                <w:rFonts w:hint="eastAsia" w:ascii="仿宋_GB2312" w:hAnsi="宋体" w:eastAsia="仿宋_GB2312" w:cs="宋体"/>
                <w:bCs/>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■便民服务站 ■入户/现场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政务公开事项的索引、名称、内容概述、生成日期等</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政务公开标准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政府信息公开指南等流程性信息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20</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权力清单及责任清单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信息形成或者变更20个工作日内，如有更新，及时公开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21</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主要业务办事指南</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信息形成或者变更之日起20个工作日内</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22</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年度报告</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政府信息公开年度报告及相关统计报表</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noWrap w:val="0"/>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《政府信息公开条例》、《国务院关于深化预算管理制度改革的决定》、《国务院办公厅关于进一步推进预算公开工作意见的通知》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《政府信息公开条例》、《国务院关于深化预算管理制度改革的决定》、中办、国办印发《关于进一步推进预算公开工作的意见》的通知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26</w:t>
            </w:r>
          </w:p>
        </w:tc>
        <w:tc>
          <w:tcPr>
            <w:tcW w:w="900" w:type="dxa"/>
            <w:vMerge w:val="restart"/>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重大工程项目信息</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项目名称、执行措施、责任分工、取得成效、后续举措等</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《政府信息公开条例》、《国务院办公厅关于推进重大建设项目批准和实施领域政府信息公开的意见》</w:t>
            </w:r>
          </w:p>
        </w:tc>
        <w:tc>
          <w:tcPr>
            <w:tcW w:w="180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《政府信息公开条例》、《中共中央 国务院关于推进安全生产领域改革发展的意见》</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540" w:type="dxa"/>
            <w:noWrap w:val="0"/>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28</w:t>
            </w:r>
          </w:p>
        </w:tc>
        <w:tc>
          <w:tcPr>
            <w:tcW w:w="900" w:type="dxa"/>
            <w:vMerge w:val="continue"/>
            <w:noWrap w:val="0"/>
            <w:vAlign w:val="center"/>
          </w:tcPr>
          <w:p>
            <w:pPr>
              <w:rPr>
                <w:rFonts w:hint="eastAsia" w:ascii="仿宋_GB2312" w:hAnsi="宋体" w:eastAsia="仿宋_GB2312" w:cs="宋体"/>
                <w:color w:val="000000"/>
                <w:sz w:val="18"/>
                <w:szCs w:val="18"/>
              </w:rPr>
            </w:pPr>
          </w:p>
        </w:tc>
        <w:tc>
          <w:tcPr>
            <w:tcW w:w="108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建议提案办理</w:t>
            </w:r>
          </w:p>
        </w:tc>
        <w:tc>
          <w:tcPr>
            <w:tcW w:w="2520" w:type="dxa"/>
            <w:noWrap w:val="0"/>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政协委员提案办理</w:t>
            </w:r>
          </w:p>
        </w:tc>
        <w:tc>
          <w:tcPr>
            <w:tcW w:w="25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《政府信息公开条例》、《国务院办公厅关于做好全国人大代表建议和全国政协委员提案办理结果公开工作的通知》</w:t>
            </w:r>
          </w:p>
        </w:tc>
        <w:tc>
          <w:tcPr>
            <w:tcW w:w="18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lang w:eastAsia="zh-CN"/>
              </w:rPr>
              <w:t>夹江县应急管理局</w:t>
            </w:r>
          </w:p>
        </w:tc>
        <w:tc>
          <w:tcPr>
            <w:tcW w:w="1496" w:type="dxa"/>
            <w:noWrap w:val="0"/>
            <w:vAlign w:val="center"/>
          </w:tcPr>
          <w:p>
            <w:pPr>
              <w:spacing w:line="240" w:lineRule="exact"/>
              <w:jc w:val="left"/>
              <w:rPr>
                <w:rFonts w:hint="eastAsia" w:ascii="仿宋_GB2312" w:hAnsi="宋体" w:eastAsia="仿宋_GB2312" w:cs="宋体"/>
                <w:bCs/>
                <w:sz w:val="18"/>
                <w:szCs w:val="18"/>
              </w:rPr>
            </w:pPr>
            <w:r>
              <w:rPr>
                <w:rFonts w:hint="eastAsia" w:ascii="仿宋_GB2312" w:eastAsia="仿宋_GB2312"/>
                <w:sz w:val="18"/>
                <w:szCs w:val="18"/>
              </w:rPr>
              <w:t xml:space="preserve">■政府网站   </w:t>
            </w:r>
          </w:p>
        </w:tc>
        <w:tc>
          <w:tcPr>
            <w:tcW w:w="664"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noWrap w:val="0"/>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noWrap w:val="0"/>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94A64"/>
    <w:rsid w:val="183B1129"/>
    <w:rsid w:val="7B5B6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2020-09-01T07:03:00Z</dcterms:created>
  <dc:creator>Administrator</dc:creator>
  <cp:lastModifiedBy>Administrator</cp:lastModifiedBy>
  <dcterms:modified xsi:type="dcterms:W3CDTF">2020-09-25T09:20:02Z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