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（二十四）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食品药品监管领域基层政务公开标准目录</w:t>
      </w:r>
    </w:p>
    <w:tbl>
      <w:tblPr>
        <w:tblStyle w:val="3"/>
        <w:tblW w:w="0" w:type="auto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行政审批局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行政审批局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   </w:t>
            </w: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■政务服务中心  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监督检 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《政府信息公开条例》《关于全面推进政务公开工作的意见》《食品药品安全监管信息公开管理办法》《药品管理法》《医疗器械监督管理条例》《药品医疗器械飞行检查办法》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0" w:lineRule="exact"/>
              <w:ind w:firstLine="0" w:firstLineChars="0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市场监督管理局、镇人民政府（街道办事处）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市场监督管理局、镇人民政府（街道办事处）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■两微一端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市场监督管理局、镇人民政府（街道办事处）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■两微一端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市场监督管理局、镇人民政府（街道办事处）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■政府网站     ■两微一端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夹江县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  <w:lang w:eastAsia="zh-CN"/>
              </w:rPr>
              <w:t>市场监督管理局、镇人民政府（街道办事处）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18"/>
                <w:szCs w:val="18"/>
              </w:rPr>
              <w:t>■两微一端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4C38"/>
    <w:rsid w:val="393B0E3F"/>
    <w:rsid w:val="63D1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2020-09-01T07:05:00Z</dcterms:created>
  <dc:creator>Administrator</dc:creator>
  <cp:lastModifiedBy>Administrator</cp:lastModifiedBy>
  <dcterms:modified xsi:type="dcterms:W3CDTF">2020-09-25T09:15:31Z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