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8646F5">
      <w:pPr>
        <w:bidi w:val="0"/>
        <w:rPr>
          <w:rStyle w:val="17"/>
          <w:rFonts w:hint="default" w:ascii="Times New Roman" w:hAnsi="Times New Roman" w:eastAsia="方正小标宋简体" w:cs="Times New Roman"/>
          <w:b/>
          <w:bCs w:val="0"/>
          <w:i w:val="0"/>
          <w:iCs w:val="0"/>
          <w:caps w:val="0"/>
          <w:color w:val="auto"/>
          <w:spacing w:val="0"/>
          <w:w w:val="90"/>
          <w:sz w:val="52"/>
          <w:szCs w:val="52"/>
          <w:highlight w:val="none"/>
          <w:shd w:val="clear" w:color="auto" w:fill="FFFFFF"/>
          <w:lang w:val="en-US" w:eastAsia="zh-CN"/>
        </w:rPr>
      </w:pPr>
      <w:bookmarkStart w:id="0" w:name="_Toc8518"/>
      <w:bookmarkStart w:id="1" w:name="_Toc32749"/>
      <w:bookmarkStart w:id="2" w:name="_Toc15234"/>
      <w:bookmarkStart w:id="3" w:name="_Toc30788"/>
      <w:bookmarkStart w:id="4" w:name="_Toc6510"/>
      <w:bookmarkStart w:id="5" w:name="_Toc26559"/>
      <w:bookmarkStart w:id="6" w:name="_Toc24606"/>
    </w:p>
    <w:p w14:paraId="6CE4F2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4" w:lineRule="atLeast"/>
        <w:ind w:left="0" w:leftChars="0" w:right="0" w:rightChars="0" w:firstLine="0" w:firstLineChars="0"/>
        <w:jc w:val="center"/>
        <w:textAlignment w:val="auto"/>
        <w:outlineLvl w:val="0"/>
        <w:rPr>
          <w:rStyle w:val="17"/>
          <w:rFonts w:hint="default" w:ascii="Times New Roman" w:hAnsi="Times New Roman" w:eastAsia="方正小标宋简体" w:cs="Times New Roman"/>
          <w:b/>
          <w:bCs w:val="0"/>
          <w:i w:val="0"/>
          <w:iCs w:val="0"/>
          <w:caps w:val="0"/>
          <w:color w:val="auto"/>
          <w:spacing w:val="0"/>
          <w:w w:val="90"/>
          <w:sz w:val="52"/>
          <w:szCs w:val="52"/>
          <w:highlight w:val="none"/>
          <w:shd w:val="clear" w:color="auto" w:fill="FFFFFF"/>
          <w:lang w:val="en-US" w:eastAsia="zh-CN"/>
        </w:rPr>
      </w:pPr>
    </w:p>
    <w:p w14:paraId="51C44F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4" w:lineRule="atLeast"/>
        <w:ind w:left="0" w:leftChars="0" w:right="0" w:rightChars="0" w:firstLine="0" w:firstLineChars="0"/>
        <w:jc w:val="center"/>
        <w:textAlignment w:val="auto"/>
        <w:outlineLvl w:val="0"/>
        <w:rPr>
          <w:rStyle w:val="17"/>
          <w:rFonts w:hint="eastAsia" w:ascii="Times New Roman" w:hAnsi="Times New Roman" w:eastAsia="方正小标宋简体" w:cs="Times New Roman"/>
          <w:b w:val="0"/>
          <w:bCs/>
          <w:i w:val="0"/>
          <w:iCs w:val="0"/>
          <w:caps w:val="0"/>
          <w:color w:val="auto"/>
          <w:spacing w:val="0"/>
          <w:w w:val="90"/>
          <w:sz w:val="52"/>
          <w:szCs w:val="52"/>
          <w:highlight w:val="none"/>
          <w:shd w:val="clear" w:color="auto" w:fill="FFFFFF"/>
          <w:lang w:val="en-US" w:eastAsia="zh-CN"/>
        </w:rPr>
      </w:pPr>
      <w:bookmarkStart w:id="7" w:name="_Toc9444"/>
      <w:r>
        <w:rPr>
          <w:rStyle w:val="17"/>
          <w:rFonts w:hint="default" w:ascii="Times New Roman" w:hAnsi="Times New Roman" w:eastAsia="方正小标宋简体" w:cs="Times New Roman"/>
          <w:b w:val="0"/>
          <w:bCs/>
          <w:i w:val="0"/>
          <w:iCs w:val="0"/>
          <w:caps w:val="0"/>
          <w:color w:val="auto"/>
          <w:spacing w:val="0"/>
          <w:w w:val="90"/>
          <w:sz w:val="52"/>
          <w:szCs w:val="52"/>
          <w:highlight w:val="none"/>
          <w:shd w:val="clear" w:color="auto" w:fill="FFFFFF"/>
          <w:lang w:val="en-US" w:eastAsia="zh-CN"/>
        </w:rPr>
        <w:t>夹江</w:t>
      </w:r>
      <w:r>
        <w:rPr>
          <w:rStyle w:val="17"/>
          <w:rFonts w:hint="default" w:ascii="Times New Roman" w:hAnsi="Times New Roman" w:eastAsia="方正小标宋简体" w:cs="Times New Roman"/>
          <w:b w:val="0"/>
          <w:bCs/>
          <w:i w:val="0"/>
          <w:iCs w:val="0"/>
          <w:caps w:val="0"/>
          <w:color w:val="auto"/>
          <w:spacing w:val="0"/>
          <w:w w:val="90"/>
          <w:sz w:val="52"/>
          <w:szCs w:val="52"/>
          <w:highlight w:val="none"/>
          <w:shd w:val="clear" w:color="auto" w:fill="FFFFFF"/>
        </w:rPr>
        <w:t>县</w:t>
      </w:r>
      <w:r>
        <w:rPr>
          <w:rStyle w:val="17"/>
          <w:rFonts w:hint="default" w:ascii="Times New Roman" w:hAnsi="Times New Roman" w:eastAsia="方正小标宋简体" w:cs="Times New Roman"/>
          <w:b w:val="0"/>
          <w:bCs/>
          <w:i w:val="0"/>
          <w:iCs w:val="0"/>
          <w:caps w:val="0"/>
          <w:color w:val="auto"/>
          <w:spacing w:val="0"/>
          <w:w w:val="90"/>
          <w:sz w:val="52"/>
          <w:szCs w:val="52"/>
          <w:highlight w:val="none"/>
          <w:shd w:val="clear" w:color="auto" w:fill="FFFFFF"/>
          <w:lang w:val="en-US" w:eastAsia="zh-CN"/>
        </w:rPr>
        <w:t>畜牧</w:t>
      </w:r>
      <w:r>
        <w:rPr>
          <w:rStyle w:val="17"/>
          <w:rFonts w:hint="default" w:ascii="Times New Roman" w:hAnsi="Times New Roman" w:eastAsia="方正小标宋简体" w:cs="Times New Roman"/>
          <w:b w:val="0"/>
          <w:bCs/>
          <w:i w:val="0"/>
          <w:iCs w:val="0"/>
          <w:caps w:val="0"/>
          <w:color w:val="auto"/>
          <w:spacing w:val="0"/>
          <w:w w:val="90"/>
          <w:sz w:val="52"/>
          <w:szCs w:val="52"/>
          <w:highlight w:val="none"/>
          <w:shd w:val="clear" w:color="auto" w:fill="FFFFFF"/>
        </w:rPr>
        <w:t>业“十</w:t>
      </w:r>
      <w:r>
        <w:rPr>
          <w:rStyle w:val="17"/>
          <w:rFonts w:hint="default" w:ascii="Times New Roman" w:hAnsi="Times New Roman" w:eastAsia="方正小标宋简体" w:cs="Times New Roman"/>
          <w:b w:val="0"/>
          <w:bCs/>
          <w:i w:val="0"/>
          <w:iCs w:val="0"/>
          <w:caps w:val="0"/>
          <w:color w:val="auto"/>
          <w:spacing w:val="0"/>
          <w:w w:val="90"/>
          <w:sz w:val="52"/>
          <w:szCs w:val="52"/>
          <w:highlight w:val="none"/>
          <w:shd w:val="clear" w:color="auto" w:fill="FFFFFF"/>
          <w:lang w:val="en-US" w:eastAsia="zh-CN"/>
        </w:rPr>
        <w:t>五</w:t>
      </w:r>
      <w:r>
        <w:rPr>
          <w:rStyle w:val="17"/>
          <w:rFonts w:hint="default" w:ascii="Times New Roman" w:hAnsi="Times New Roman" w:eastAsia="方正小标宋简体" w:cs="Times New Roman"/>
          <w:b w:val="0"/>
          <w:bCs/>
          <w:i w:val="0"/>
          <w:iCs w:val="0"/>
          <w:caps w:val="0"/>
          <w:color w:val="auto"/>
          <w:spacing w:val="0"/>
          <w:w w:val="90"/>
          <w:sz w:val="52"/>
          <w:szCs w:val="52"/>
          <w:highlight w:val="none"/>
          <w:shd w:val="clear" w:color="auto" w:fill="FFFFFF"/>
        </w:rPr>
        <w:t>五”</w:t>
      </w:r>
      <w:r>
        <w:rPr>
          <w:rStyle w:val="17"/>
          <w:rFonts w:hint="default" w:ascii="Times New Roman" w:hAnsi="Times New Roman" w:eastAsia="方正小标宋简体" w:cs="Times New Roman"/>
          <w:b w:val="0"/>
          <w:bCs/>
          <w:i w:val="0"/>
          <w:iCs w:val="0"/>
          <w:caps w:val="0"/>
          <w:color w:val="auto"/>
          <w:spacing w:val="0"/>
          <w:w w:val="90"/>
          <w:sz w:val="52"/>
          <w:szCs w:val="52"/>
          <w:highlight w:val="none"/>
          <w:shd w:val="clear" w:color="auto" w:fill="FFFFFF"/>
          <w:lang w:val="en-US" w:eastAsia="zh-CN"/>
        </w:rPr>
        <w:t>高质量</w:t>
      </w:r>
      <w:bookmarkEnd w:id="0"/>
      <w:bookmarkEnd w:id="1"/>
      <w:bookmarkEnd w:id="2"/>
      <w:bookmarkEnd w:id="3"/>
      <w:bookmarkStart w:id="8" w:name="_Toc7097"/>
      <w:bookmarkStart w:id="9" w:name="_Toc8665"/>
      <w:r>
        <w:rPr>
          <w:rStyle w:val="17"/>
          <w:rFonts w:hint="default" w:ascii="Times New Roman" w:hAnsi="Times New Roman" w:eastAsia="方正小标宋简体" w:cs="Times New Roman"/>
          <w:b w:val="0"/>
          <w:bCs/>
          <w:i w:val="0"/>
          <w:iCs w:val="0"/>
          <w:caps w:val="0"/>
          <w:color w:val="auto"/>
          <w:spacing w:val="0"/>
          <w:w w:val="90"/>
          <w:sz w:val="52"/>
          <w:szCs w:val="52"/>
          <w:highlight w:val="none"/>
          <w:shd w:val="clear" w:color="auto" w:fill="FFFFFF"/>
        </w:rPr>
        <w:t>发展规划（202</w:t>
      </w:r>
      <w:r>
        <w:rPr>
          <w:rStyle w:val="17"/>
          <w:rFonts w:hint="default" w:ascii="Times New Roman" w:hAnsi="Times New Roman" w:eastAsia="方正小标宋简体" w:cs="Times New Roman"/>
          <w:b w:val="0"/>
          <w:bCs/>
          <w:i w:val="0"/>
          <w:iCs w:val="0"/>
          <w:caps w:val="0"/>
          <w:color w:val="auto"/>
          <w:spacing w:val="0"/>
          <w:w w:val="90"/>
          <w:sz w:val="52"/>
          <w:szCs w:val="52"/>
          <w:highlight w:val="none"/>
          <w:shd w:val="clear" w:color="auto" w:fill="FFFFFF"/>
          <w:lang w:val="en-US" w:eastAsia="zh-CN"/>
        </w:rPr>
        <w:t>6</w:t>
      </w:r>
      <w:r>
        <w:rPr>
          <w:rStyle w:val="17"/>
          <w:rFonts w:hint="default" w:ascii="Times New Roman" w:hAnsi="Times New Roman" w:eastAsia="方正小标宋简体" w:cs="Times New Roman"/>
          <w:b w:val="0"/>
          <w:bCs/>
          <w:i w:val="0"/>
          <w:iCs w:val="0"/>
          <w:caps w:val="0"/>
          <w:color w:val="auto"/>
          <w:spacing w:val="0"/>
          <w:w w:val="90"/>
          <w:sz w:val="52"/>
          <w:szCs w:val="52"/>
          <w:highlight w:val="none"/>
          <w:shd w:val="clear" w:color="auto" w:fill="FFFFFF"/>
        </w:rPr>
        <w:t>—20</w:t>
      </w:r>
      <w:r>
        <w:rPr>
          <w:rStyle w:val="17"/>
          <w:rFonts w:hint="default" w:ascii="Times New Roman" w:hAnsi="Times New Roman" w:eastAsia="方正小标宋简体" w:cs="Times New Roman"/>
          <w:b w:val="0"/>
          <w:bCs/>
          <w:i w:val="0"/>
          <w:iCs w:val="0"/>
          <w:caps w:val="0"/>
          <w:color w:val="auto"/>
          <w:spacing w:val="0"/>
          <w:w w:val="90"/>
          <w:sz w:val="52"/>
          <w:szCs w:val="52"/>
          <w:highlight w:val="none"/>
          <w:shd w:val="clear" w:color="auto" w:fill="FFFFFF"/>
          <w:lang w:val="en-US" w:eastAsia="zh-CN"/>
        </w:rPr>
        <w:t>30</w:t>
      </w:r>
      <w:r>
        <w:rPr>
          <w:rStyle w:val="17"/>
          <w:rFonts w:hint="default" w:ascii="Times New Roman" w:hAnsi="Times New Roman" w:eastAsia="方正小标宋简体" w:cs="Times New Roman"/>
          <w:b w:val="0"/>
          <w:bCs/>
          <w:i w:val="0"/>
          <w:iCs w:val="0"/>
          <w:caps w:val="0"/>
          <w:color w:val="auto"/>
          <w:spacing w:val="0"/>
          <w:w w:val="90"/>
          <w:sz w:val="52"/>
          <w:szCs w:val="52"/>
          <w:highlight w:val="none"/>
          <w:shd w:val="clear" w:color="auto" w:fill="FFFFFF"/>
        </w:rPr>
        <w:t>年）</w:t>
      </w:r>
      <w:bookmarkEnd w:id="4"/>
      <w:bookmarkEnd w:id="5"/>
      <w:bookmarkEnd w:id="6"/>
      <w:bookmarkEnd w:id="7"/>
      <w:bookmarkEnd w:id="8"/>
      <w:bookmarkEnd w:id="9"/>
      <w:bookmarkStart w:id="101" w:name="_GoBack"/>
      <w:r>
        <w:rPr>
          <w:rStyle w:val="17"/>
          <w:rFonts w:hint="eastAsia" w:ascii="Times New Roman" w:hAnsi="Times New Roman" w:eastAsia="方正小标宋简体" w:cs="Times New Roman"/>
          <w:b w:val="0"/>
          <w:bCs/>
          <w:i w:val="0"/>
          <w:iCs w:val="0"/>
          <w:caps w:val="0"/>
          <w:color w:val="auto"/>
          <w:spacing w:val="0"/>
          <w:w w:val="90"/>
          <w:sz w:val="52"/>
          <w:szCs w:val="52"/>
          <w:highlight w:val="none"/>
          <w:shd w:val="clear" w:color="auto" w:fill="FFFFFF"/>
          <w:lang w:eastAsia="zh-CN"/>
        </w:rPr>
        <w:t>（草案）</w:t>
      </w:r>
    </w:p>
    <w:bookmarkEnd w:id="101"/>
    <w:p w14:paraId="24D14A36">
      <w:pPr>
        <w:bidi w:val="0"/>
        <w:rPr>
          <w:rFonts w:hint="default"/>
        </w:rPr>
      </w:pPr>
    </w:p>
    <w:p w14:paraId="061F66E4">
      <w:pPr>
        <w:bidi w:val="0"/>
        <w:rPr>
          <w:rFonts w:hint="default"/>
        </w:rPr>
      </w:pPr>
    </w:p>
    <w:p w14:paraId="13DC6A9F">
      <w:pPr>
        <w:bidi w:val="0"/>
        <w:rPr>
          <w:rFonts w:hint="default"/>
        </w:rPr>
      </w:pPr>
    </w:p>
    <w:p w14:paraId="0ADAE1FE">
      <w:pPr>
        <w:bidi w:val="0"/>
        <w:rPr>
          <w:rFonts w:hint="default"/>
        </w:rPr>
      </w:pPr>
    </w:p>
    <w:p w14:paraId="0D371C13">
      <w:pPr>
        <w:bidi w:val="0"/>
        <w:rPr>
          <w:rFonts w:hint="default"/>
        </w:rPr>
      </w:pPr>
    </w:p>
    <w:p w14:paraId="3C01E840">
      <w:pPr>
        <w:bidi w:val="0"/>
        <w:rPr>
          <w:rFonts w:hint="default"/>
        </w:rPr>
      </w:pPr>
    </w:p>
    <w:p w14:paraId="48B971BC">
      <w:pPr>
        <w:bidi w:val="0"/>
        <w:rPr>
          <w:rFonts w:hint="default"/>
        </w:rPr>
      </w:pPr>
    </w:p>
    <w:p w14:paraId="646C5471">
      <w:pPr>
        <w:bidi w:val="0"/>
        <w:rPr>
          <w:rFonts w:hint="default"/>
        </w:rPr>
      </w:pPr>
    </w:p>
    <w:p w14:paraId="331F802C">
      <w:pPr>
        <w:bidi w:val="0"/>
        <w:rPr>
          <w:rFonts w:hint="default"/>
        </w:rPr>
      </w:pPr>
    </w:p>
    <w:p w14:paraId="6EAC9FB2">
      <w:pPr>
        <w:bidi w:val="0"/>
        <w:rPr>
          <w:rFonts w:hint="default"/>
        </w:rPr>
      </w:pPr>
    </w:p>
    <w:p w14:paraId="3CB88AB1">
      <w:pPr>
        <w:bidi w:val="0"/>
        <w:rPr>
          <w:rFonts w:hint="default"/>
        </w:rPr>
      </w:pPr>
    </w:p>
    <w:p w14:paraId="6DFB2DC5">
      <w:pPr>
        <w:bidi w:val="0"/>
        <w:rPr>
          <w:rFonts w:hint="default"/>
        </w:rPr>
      </w:pPr>
    </w:p>
    <w:p w14:paraId="417E9FF6">
      <w:pPr>
        <w:bidi w:val="0"/>
        <w:rPr>
          <w:rFonts w:hint="default"/>
        </w:rPr>
      </w:pPr>
    </w:p>
    <w:p w14:paraId="2B3895E1">
      <w:pPr>
        <w:bidi w:val="0"/>
        <w:ind w:left="0" w:leftChars="0" w:firstLine="0" w:firstLineChars="0"/>
        <w:rPr>
          <w:rFonts w:hint="default"/>
        </w:rPr>
      </w:pPr>
    </w:p>
    <w:p w14:paraId="575ACCAE">
      <w:pPr>
        <w:ind w:left="0" w:leftChars="0" w:firstLine="0" w:firstLineChars="0"/>
        <w:jc w:val="center"/>
        <w:rPr>
          <w:rStyle w:val="17"/>
          <w:rFonts w:hint="eastAsia" w:ascii="黑体" w:hAnsi="黑体" w:eastAsia="黑体" w:cs="黑体"/>
          <w:b w:val="0"/>
          <w:bCs/>
          <w:i w:val="0"/>
          <w:iCs w:val="0"/>
          <w:caps w:val="0"/>
          <w:color w:val="auto"/>
          <w:spacing w:val="0"/>
          <w:sz w:val="32"/>
          <w:szCs w:val="32"/>
          <w:highlight w:val="none"/>
          <w:shd w:val="clear" w:color="auto" w:fill="FFFFFF"/>
          <w:lang w:val="en-US" w:eastAsia="zh-CN"/>
        </w:rPr>
      </w:pPr>
      <w:r>
        <w:rPr>
          <w:rStyle w:val="17"/>
          <w:rFonts w:hint="eastAsia" w:ascii="黑体" w:hAnsi="黑体" w:eastAsia="黑体" w:cs="黑体"/>
          <w:b w:val="0"/>
          <w:bCs/>
          <w:i w:val="0"/>
          <w:iCs w:val="0"/>
          <w:caps w:val="0"/>
          <w:color w:val="auto"/>
          <w:spacing w:val="0"/>
          <w:sz w:val="32"/>
          <w:szCs w:val="32"/>
          <w:highlight w:val="none"/>
          <w:shd w:val="clear" w:color="auto" w:fill="FFFFFF"/>
          <w:lang w:val="en-US" w:eastAsia="zh-CN"/>
        </w:rPr>
        <w:t>夹江县农业农村局</w:t>
      </w:r>
    </w:p>
    <w:p w14:paraId="48BFFF06">
      <w:pPr>
        <w:ind w:left="0" w:leftChars="0" w:firstLine="0" w:firstLineChars="0"/>
        <w:jc w:val="center"/>
        <w:rPr>
          <w:rStyle w:val="17"/>
          <w:rFonts w:hint="eastAsia" w:ascii="黑体" w:hAnsi="黑体" w:eastAsia="黑体" w:cs="黑体"/>
          <w:b w:val="0"/>
          <w:bCs/>
          <w:i w:val="0"/>
          <w:iCs w:val="0"/>
          <w:caps w:val="0"/>
          <w:color w:val="auto"/>
          <w:spacing w:val="0"/>
          <w:sz w:val="32"/>
          <w:szCs w:val="32"/>
          <w:highlight w:val="none"/>
          <w:shd w:val="clear" w:color="auto" w:fill="FFFFFF"/>
          <w:lang w:val="en-US" w:eastAsia="zh-CN"/>
        </w:rPr>
      </w:pPr>
      <w:r>
        <w:rPr>
          <w:rStyle w:val="17"/>
          <w:rFonts w:hint="eastAsia" w:ascii="黑体" w:hAnsi="黑体" w:eastAsia="黑体" w:cs="黑体"/>
          <w:b w:val="0"/>
          <w:bCs/>
          <w:i w:val="0"/>
          <w:iCs w:val="0"/>
          <w:caps w:val="0"/>
          <w:color w:val="auto"/>
          <w:spacing w:val="0"/>
          <w:sz w:val="32"/>
          <w:szCs w:val="32"/>
          <w:highlight w:val="none"/>
          <w:shd w:val="clear" w:color="auto" w:fill="FFFFFF"/>
          <w:lang w:val="en-US" w:eastAsia="zh-CN"/>
        </w:rPr>
        <w:t>2026年3月</w:t>
      </w:r>
    </w:p>
    <w:sdt>
      <w:sdtPr>
        <w:rPr>
          <w:rFonts w:hint="default" w:ascii="Times New Roman" w:hAnsi="Times New Roman" w:eastAsia="宋体" w:cs="Times New Roman"/>
          <w:b/>
          <w:bCs/>
          <w:color w:val="auto"/>
          <w:kern w:val="2"/>
          <w:sz w:val="32"/>
          <w:szCs w:val="40"/>
          <w:highlight w:val="none"/>
          <w:lang w:val="en-US" w:eastAsia="zh-CN" w:bidi="ar-SA"/>
        </w:rPr>
        <w:id w:val="147460827"/>
        <w15:color w:val="DBDBDB"/>
        <w:docPartObj>
          <w:docPartGallery w:val="Table of Contents"/>
          <w:docPartUnique/>
        </w:docPartObj>
      </w:sdtPr>
      <w:sdtEndPr>
        <w:rPr>
          <w:rFonts w:hint="default" w:ascii="Times New Roman" w:hAnsi="Times New Roman" w:eastAsia="仿宋_GB2312" w:cs="Times New Roman"/>
          <w:b/>
          <w:bCs/>
          <w:color w:val="auto"/>
          <w:kern w:val="2"/>
          <w:sz w:val="28"/>
          <w:szCs w:val="28"/>
          <w:highlight w:val="none"/>
          <w:lang w:val="en-US" w:eastAsia="zh-CN" w:bidi="ar-SA"/>
        </w:rPr>
      </w:sdtEndPr>
      <w:sdtContent>
        <w:p w14:paraId="04CFE7AB">
          <w:pPr>
            <w:keepNext w:val="0"/>
            <w:keepLines w:val="0"/>
            <w:pageBreakBefore w:val="0"/>
            <w:kinsoku/>
            <w:wordWrap/>
            <w:overflowPunct/>
            <w:topLinePunct w:val="0"/>
            <w:autoSpaceDE/>
            <w:autoSpaceDN/>
            <w:bidi w:val="0"/>
            <w:spacing w:before="0" w:beforeLines="0" w:after="0" w:afterLines="0" w:line="360" w:lineRule="auto"/>
            <w:ind w:left="0" w:leftChars="0" w:right="0" w:rightChars="0" w:firstLine="0" w:firstLineChars="0"/>
            <w:jc w:val="center"/>
            <w:textAlignment w:val="auto"/>
            <w:outlineLvl w:val="9"/>
            <w:rPr>
              <w:rFonts w:hint="default" w:ascii="Times New Roman" w:hAnsi="Times New Roman" w:eastAsia="仿宋_GB2312" w:cs="Times New Roman"/>
              <w:bCs/>
              <w:color w:val="auto"/>
              <w:kern w:val="2"/>
              <w:sz w:val="32"/>
              <w:szCs w:val="28"/>
              <w:highlight w:val="none"/>
              <w:lang w:val="en-US" w:eastAsia="zh-CN" w:bidi="ar-SA"/>
            </w:rPr>
          </w:pPr>
          <w:bookmarkStart w:id="10" w:name="_Toc19589"/>
          <w:bookmarkStart w:id="11" w:name="_Toc3799"/>
          <w:r>
            <w:rPr>
              <w:rFonts w:hint="default" w:ascii="Times New Roman" w:hAnsi="Times New Roman" w:eastAsia="仿宋" w:cs="Times New Roman"/>
              <w:b/>
              <w:bCs/>
              <w:color w:val="auto"/>
              <w:kern w:val="2"/>
              <w:sz w:val="32"/>
              <w:szCs w:val="40"/>
              <w:highlight w:val="none"/>
              <w:lang w:val="en-US" w:eastAsia="zh-CN" w:bidi="ar-SA"/>
            </w:rPr>
            <w:t>目录</w:t>
          </w:r>
          <w:bookmarkEnd w:id="10"/>
          <w:bookmarkEnd w:id="11"/>
          <w:r>
            <w:rPr>
              <w:rFonts w:hint="default" w:ascii="Times New Roman" w:hAnsi="Times New Roman" w:eastAsia="仿宋_GB2312" w:cs="Times New Roman"/>
              <w:b/>
              <w:bCs/>
              <w:color w:val="auto"/>
              <w:kern w:val="2"/>
              <w:sz w:val="28"/>
              <w:szCs w:val="28"/>
              <w:highlight w:val="none"/>
              <w:lang w:val="en-US" w:eastAsia="zh-CN" w:bidi="ar-SA"/>
            </w:rPr>
            <w:fldChar w:fldCharType="begin"/>
          </w:r>
          <w:r>
            <w:rPr>
              <w:rFonts w:hint="default" w:ascii="Times New Roman" w:hAnsi="Times New Roman" w:eastAsia="仿宋_GB2312" w:cs="Times New Roman"/>
              <w:b/>
              <w:bCs/>
              <w:color w:val="auto"/>
              <w:kern w:val="2"/>
              <w:sz w:val="28"/>
              <w:szCs w:val="28"/>
              <w:highlight w:val="none"/>
              <w:lang w:val="en-US" w:eastAsia="zh-CN" w:bidi="ar-SA"/>
            </w:rPr>
            <w:instrText xml:space="preserve">TOC \o "1-4" \h \u </w:instrText>
          </w:r>
          <w:r>
            <w:rPr>
              <w:rFonts w:hint="default" w:ascii="Times New Roman" w:hAnsi="Times New Roman" w:eastAsia="仿宋_GB2312" w:cs="Times New Roman"/>
              <w:b/>
              <w:bCs/>
              <w:color w:val="auto"/>
              <w:kern w:val="2"/>
              <w:sz w:val="28"/>
              <w:szCs w:val="28"/>
              <w:highlight w:val="none"/>
              <w:lang w:val="en-US" w:eastAsia="zh-CN" w:bidi="ar-SA"/>
            </w:rPr>
            <w:fldChar w:fldCharType="separate"/>
          </w:r>
        </w:p>
        <w:p w14:paraId="4835C9EF">
          <w:pPr>
            <w:pStyle w:val="12"/>
            <w:tabs>
              <w:tab w:val="right" w:leader="dot" w:pos="8845"/>
            </w:tabs>
            <w:ind w:left="0" w:leftChars="0" w:firstLine="0" w:firstLineChars="0"/>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_Toc24342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z w:val="30"/>
              <w:szCs w:val="30"/>
              <w:highlight w:val="none"/>
              <w:lang w:val="en-US" w:eastAsia="zh-CN"/>
            </w:rPr>
            <w:t>前言</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_Toc24342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1</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22CD3660">
          <w:pPr>
            <w:pStyle w:val="12"/>
            <w:tabs>
              <w:tab w:val="right" w:leader="dot" w:pos="8845"/>
            </w:tabs>
            <w:ind w:left="0" w:leftChars="0" w:firstLine="0" w:firstLineChars="0"/>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_Toc22645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z w:val="30"/>
              <w:szCs w:val="30"/>
              <w:highlight w:val="none"/>
              <w:lang w:val="en-US" w:eastAsia="zh-CN"/>
            </w:rPr>
            <w:t>第一章发展基础</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_Toc22645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2</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7A5A3339">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_Toc12497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一、产业基础</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_Toc12497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2</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1346CBAA">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_Toc4931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二、承载量预测</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_Toc4931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5</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5851D5E1">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_Toc16017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三、发展挑战</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_Toc16017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15</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24C68761">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_Toc17702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strike w:val="0"/>
              <w:dstrike w:val="0"/>
              <w:sz w:val="30"/>
              <w:szCs w:val="30"/>
              <w:highlight w:val="none"/>
              <w:lang w:val="en-US" w:eastAsia="zh-CN"/>
            </w:rPr>
            <w:t>四、</w:t>
          </w:r>
          <w:r>
            <w:rPr>
              <w:rFonts w:hint="default" w:ascii="Times New Roman" w:hAnsi="Times New Roman" w:eastAsia="仿宋_GB2312" w:cs="Times New Roman"/>
              <w:bCs w:val="0"/>
              <w:strike w:val="0"/>
              <w:dstrike w:val="0"/>
              <w:sz w:val="30"/>
              <w:szCs w:val="30"/>
              <w:highlight w:val="none"/>
              <w:lang w:val="en-US" w:eastAsia="zh-CN"/>
            </w:rPr>
            <w:t>发展机遇</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_Toc17702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16</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528F937D">
          <w:pPr>
            <w:pStyle w:val="12"/>
            <w:tabs>
              <w:tab w:val="right" w:leader="dot" w:pos="8845"/>
            </w:tabs>
            <w:ind w:left="0" w:leftChars="0" w:firstLine="0" w:firstLineChars="0"/>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_Toc22168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z w:val="30"/>
              <w:szCs w:val="30"/>
              <w:highlight w:val="none"/>
              <w:lang w:val="en-US" w:eastAsia="zh-CN"/>
            </w:rPr>
            <w:t>第二章总体要求</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_Toc22168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19</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67F2201A">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_Toc13985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一、指导思想</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_Toc13985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19</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45F5D831">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_Toc3480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二、基本原则</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_Toc3480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19</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3DA59E77">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_Toc18157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三、思路目标</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_Toc18157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20</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7A79F14C">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_Toc13810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strike w:val="0"/>
              <w:dstrike w:val="0"/>
              <w:sz w:val="30"/>
              <w:szCs w:val="30"/>
              <w:highlight w:val="none"/>
              <w:lang w:val="en-US" w:eastAsia="zh-CN"/>
            </w:rPr>
            <w:t>（一）总体目标</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_Toc13810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20</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52B8C767">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_Toc22217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strike w:val="0"/>
              <w:dstrike w:val="0"/>
              <w:sz w:val="30"/>
              <w:szCs w:val="30"/>
              <w:highlight w:val="none"/>
              <w:lang w:val="en-US" w:eastAsia="zh-CN"/>
            </w:rPr>
            <w:t>（二）具体目标</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_Toc22217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21</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44C1EE82">
          <w:pPr>
            <w:pStyle w:val="12"/>
            <w:tabs>
              <w:tab w:val="right" w:leader="dot" w:pos="8845"/>
            </w:tabs>
            <w:ind w:left="0" w:leftChars="0" w:firstLine="0" w:firstLineChars="0"/>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_Toc11711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z w:val="30"/>
              <w:szCs w:val="30"/>
              <w:highlight w:val="none"/>
              <w:lang w:val="en-US" w:eastAsia="zh-CN"/>
            </w:rPr>
            <w:t>第三章规划布局</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_Toc11711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24</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7E6E4D14">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_Toc13021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一、养殖区域布局</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_Toc13021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24</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7248A53F">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_Toc8756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strike w:val="0"/>
              <w:dstrike w:val="0"/>
              <w:sz w:val="30"/>
              <w:szCs w:val="30"/>
              <w:highlight w:val="none"/>
              <w:lang w:val="en-US" w:eastAsia="zh-CN"/>
            </w:rPr>
            <w:t>（一）布局原则</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_Toc8756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24</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139C6E88">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_Toc16905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strike w:val="0"/>
              <w:dstrike w:val="0"/>
              <w:sz w:val="30"/>
              <w:szCs w:val="30"/>
              <w:highlight w:val="none"/>
              <w:lang w:val="en-US" w:eastAsia="zh-CN"/>
            </w:rPr>
            <w:t>（二）优化布局策略</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_Toc16905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26</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354C755E">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_Toc6954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二、生产力布局</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_Toc6954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27</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1D74CFC8">
          <w:pPr>
            <w:pStyle w:val="12"/>
            <w:tabs>
              <w:tab w:val="right" w:leader="dot" w:pos="8845"/>
            </w:tabs>
            <w:ind w:left="0" w:leftChars="0" w:firstLine="0" w:firstLineChars="0"/>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_Toc8025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z w:val="30"/>
              <w:szCs w:val="30"/>
              <w:highlight w:val="none"/>
              <w:lang w:val="en-US" w:eastAsia="zh-CN"/>
            </w:rPr>
            <w:t>第四章重点任务</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_Toc8025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31</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08EAE42D">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_Toc30663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一、以有序养殖为引领，提升畜禽养殖集约化水平</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_Toc30663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31</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760F2334">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_Toc17529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strike w:val="0"/>
              <w:dstrike w:val="0"/>
              <w:sz w:val="30"/>
              <w:szCs w:val="30"/>
              <w:highlight w:val="none"/>
              <w:lang w:val="en-US" w:eastAsia="zh-CN"/>
            </w:rPr>
            <w:t>（一）推进标准化规模养殖</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_Toc17529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31</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57BCBDB2">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_Toc3490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strike w:val="0"/>
              <w:dstrike w:val="0"/>
              <w:sz w:val="30"/>
              <w:szCs w:val="30"/>
              <w:highlight w:val="none"/>
              <w:lang w:val="en-US" w:eastAsia="zh-CN"/>
            </w:rPr>
            <w:t>（二）创新联农带农模式</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_Toc3490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31</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058DFEEE">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_Toc20696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strike w:val="0"/>
              <w:dstrike w:val="0"/>
              <w:sz w:val="30"/>
              <w:szCs w:val="30"/>
              <w:highlight w:val="none"/>
              <w:lang w:val="en-US" w:eastAsia="zh-CN"/>
            </w:rPr>
            <w:t>（三）提升现代化设施装备水平</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_Toc20696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33</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509254CE">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_Toc26072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二、以质量安全为引领，保障优质饲料稳定供应</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_Toc26072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33</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7C634459">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_Toc6879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strike w:val="0"/>
              <w:dstrike w:val="0"/>
              <w:sz w:val="30"/>
              <w:szCs w:val="30"/>
              <w:highlight w:val="none"/>
              <w:lang w:val="en-US" w:eastAsia="zh-CN"/>
            </w:rPr>
            <w:t>（一）构建现代化饲料生产体系</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_Toc6879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34</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28D4798F">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_Toc12263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strike w:val="0"/>
              <w:dstrike w:val="0"/>
              <w:sz w:val="30"/>
              <w:szCs w:val="30"/>
              <w:highlight w:val="none"/>
              <w:lang w:val="en-US" w:eastAsia="zh-CN"/>
            </w:rPr>
            <w:t>（二）实施饲料质量安全全链条监管</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_Toc12263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34</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6D762D96">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_Toc25574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strike w:val="0"/>
              <w:dstrike w:val="0"/>
              <w:sz w:val="30"/>
              <w:szCs w:val="30"/>
              <w:highlight w:val="none"/>
              <w:lang w:val="en-US" w:eastAsia="zh-CN"/>
            </w:rPr>
            <w:t>（三）推动技术创新与资源循环利用</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_Toc25574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35</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2E2EA07B">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_Toc80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三、以产业链建设为引领，保障畜禽生产供应畅通</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_Toc80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36</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51547046">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_Toc3279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strike w:val="0"/>
              <w:dstrike w:val="0"/>
              <w:sz w:val="30"/>
              <w:szCs w:val="30"/>
              <w:highlight w:val="none"/>
              <w:lang w:val="en-US" w:eastAsia="zh-CN"/>
            </w:rPr>
            <w:t>（一）推进领航企业引育计划</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_Toc3279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36</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3EA5C88E">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_Toc24904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strike w:val="0"/>
              <w:dstrike w:val="0"/>
              <w:sz w:val="30"/>
              <w:szCs w:val="30"/>
              <w:highlight w:val="none"/>
              <w:lang w:val="en-US" w:eastAsia="zh-CN"/>
            </w:rPr>
            <w:t>（二）积极拓展和延伸产业链</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_Toc24904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37</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146865B8">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_Toc22636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四、以生态循环为引领，推进畜牧产业生态可持续</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_Toc22636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39</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0821AD81">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_Toc11783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strike w:val="0"/>
              <w:dstrike w:val="0"/>
              <w:sz w:val="30"/>
              <w:szCs w:val="30"/>
              <w:highlight w:val="none"/>
              <w:lang w:val="en-US" w:eastAsia="zh-CN"/>
            </w:rPr>
            <w:t>（一）推进畜禽养殖废弃物资源化利用</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_Toc11783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39</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44433DD9">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_Toc29207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strike w:val="0"/>
              <w:dstrike w:val="0"/>
              <w:sz w:val="30"/>
              <w:szCs w:val="30"/>
              <w:highlight w:val="none"/>
              <w:lang w:val="en-US" w:eastAsia="zh-CN"/>
            </w:rPr>
            <w:t>（二）大力推广生态循环养殖模式</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_Toc29207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40</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3C53D290">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_Toc13682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strike w:val="0"/>
              <w:dstrike w:val="0"/>
              <w:sz w:val="30"/>
              <w:szCs w:val="30"/>
              <w:highlight w:val="none"/>
              <w:lang w:val="en-US" w:eastAsia="zh-CN"/>
            </w:rPr>
            <w:t>（三）加强畜禽养殖废弃物监管</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_Toc13682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40</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2433718A">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_Toc25136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五、以理念革新为引领，保障畜牧产业服务高效</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_Toc25136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41</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53E82A62">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_Toc18228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strike w:val="0"/>
              <w:dstrike w:val="0"/>
              <w:sz w:val="30"/>
              <w:szCs w:val="30"/>
              <w:highlight w:val="none"/>
              <w:lang w:val="en-US" w:eastAsia="zh-CN"/>
            </w:rPr>
            <w:t>（一）提升畜禽社会化服务能力</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_Toc18228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41</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39920F69">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_Toc10074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strike w:val="0"/>
              <w:dstrike w:val="0"/>
              <w:sz w:val="30"/>
              <w:szCs w:val="30"/>
              <w:highlight w:val="none"/>
              <w:lang w:val="en-US" w:eastAsia="zh-CN"/>
            </w:rPr>
            <w:t>（二）提高产业信息化管理水平</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_Toc10074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42</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798DB310">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_Toc9862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strike w:val="0"/>
              <w:dstrike w:val="0"/>
              <w:sz w:val="30"/>
              <w:szCs w:val="30"/>
              <w:highlight w:val="none"/>
              <w:lang w:val="en-US" w:eastAsia="zh-CN"/>
            </w:rPr>
            <w:t>（三）狠抓畜禽养殖安全</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_Toc9862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42</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251503EF">
          <w:pPr>
            <w:pStyle w:val="12"/>
            <w:tabs>
              <w:tab w:val="right" w:leader="dot" w:pos="8845"/>
            </w:tabs>
            <w:ind w:left="0" w:leftChars="0" w:firstLine="0" w:firstLineChars="0"/>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_Toc8863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z w:val="30"/>
              <w:szCs w:val="30"/>
              <w:highlight w:val="none"/>
              <w:lang w:val="en-US" w:eastAsia="zh-CN"/>
            </w:rPr>
            <w:t>第五章重点工程项目</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_Toc8863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45</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3308E8DD">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_Toc30761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一、现代种业提升工程</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_Toc30761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45</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08BFBAD3">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_Toc13818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二、现代化养殖基地建设工程</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_Toc13818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45</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4EC51667">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_Toc11630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三、精深加工能力提升工程</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_Toc11630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49</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4C7291ED">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_Toc12235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四、畜禽养殖污染治理工程</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_Toc12235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50</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03055476">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_Toc15421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五、公共服务体系工程</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_Toc15421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51</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26D66C41">
          <w:pPr>
            <w:pStyle w:val="12"/>
            <w:tabs>
              <w:tab w:val="right" w:leader="dot" w:pos="8845"/>
            </w:tabs>
            <w:ind w:left="0" w:leftChars="0" w:firstLine="0" w:firstLineChars="0"/>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_Toc13115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z w:val="30"/>
              <w:szCs w:val="30"/>
              <w:highlight w:val="none"/>
              <w:lang w:val="en-US" w:eastAsia="zh-CN"/>
            </w:rPr>
            <w:t>第六章保障措施</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_Toc13115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53</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1C52C7B9">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_Toc13424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一、加强组织领导</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_Toc13424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53</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70AEBD88">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_Toc3248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二、强化财政支持</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_Toc3248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53</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4250AC45">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_Toc1289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三、强化用地保障</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_Toc1289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53</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31FD9584">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_Toc6822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四、强化金融保险支持</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_Toc6822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54</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5BE5BA63">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_Toc6147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五、强化部门协作</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_Toc6147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54</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7A7E469E">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_Toc30395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六、强化人才队伍建设</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_Toc30395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55</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76F623CC">
          <w:pPr>
            <w:pStyle w:val="7"/>
            <w:tabs>
              <w:tab w:val="right" w:leader="dot" w:pos="8845"/>
            </w:tabs>
            <w:ind w:left="0" w:leftChars="0" w:firstLine="639" w:firstLineChars="213"/>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_Toc25047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trike w:val="0"/>
              <w:dstrike w:val="0"/>
              <w:sz w:val="30"/>
              <w:szCs w:val="30"/>
              <w:highlight w:val="none"/>
              <w:lang w:val="en-US" w:eastAsia="zh-CN"/>
            </w:rPr>
            <w:t>七、强化科技支撑</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_Toc25047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55</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0B237C02">
          <w:pPr>
            <w:pStyle w:val="12"/>
            <w:tabs>
              <w:tab w:val="right" w:leader="dot" w:pos="8845"/>
            </w:tabs>
            <w:ind w:left="0" w:leftChars="0" w:firstLine="0" w:firstLineChars="0"/>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Cs/>
              <w:color w:val="auto"/>
              <w:kern w:val="2"/>
              <w:sz w:val="30"/>
              <w:szCs w:val="30"/>
              <w:highlight w:val="none"/>
              <w:lang w:val="en-US" w:eastAsia="zh-CN" w:bidi="ar-SA"/>
            </w:rPr>
            <w:fldChar w:fldCharType="begin"/>
          </w:r>
          <w:r>
            <w:rPr>
              <w:rFonts w:hint="default" w:ascii="Times New Roman" w:hAnsi="Times New Roman" w:eastAsia="仿宋_GB2312" w:cs="Times New Roman"/>
              <w:bCs/>
              <w:kern w:val="2"/>
              <w:sz w:val="30"/>
              <w:szCs w:val="30"/>
              <w:highlight w:val="none"/>
              <w:lang w:val="en-US" w:eastAsia="zh-CN" w:bidi="ar-SA"/>
            </w:rPr>
            <w:instrText xml:space="preserve"> HYPERLINK \l _Toc10156 </w:instrText>
          </w:r>
          <w:r>
            <w:rPr>
              <w:rFonts w:hint="default" w:ascii="Times New Roman" w:hAnsi="Times New Roman" w:eastAsia="仿宋_GB2312" w:cs="Times New Roman"/>
              <w:bCs/>
              <w:kern w:val="2"/>
              <w:sz w:val="30"/>
              <w:szCs w:val="30"/>
              <w:highlight w:val="none"/>
              <w:lang w:val="en-US" w:eastAsia="zh-CN" w:bidi="ar-SA"/>
            </w:rPr>
            <w:fldChar w:fldCharType="separate"/>
          </w:r>
          <w:r>
            <w:rPr>
              <w:rFonts w:hint="default" w:ascii="Times New Roman" w:hAnsi="Times New Roman" w:eastAsia="仿宋_GB2312" w:cs="Times New Roman"/>
              <w:bCs w:val="0"/>
              <w:sz w:val="30"/>
              <w:szCs w:val="30"/>
              <w:highlight w:val="none"/>
              <w:lang w:val="en-US" w:eastAsia="zh-CN"/>
            </w:rPr>
            <w:t>附件</w:t>
          </w:r>
          <w:r>
            <w:rPr>
              <w:rFonts w:hint="default" w:ascii="Times New Roman" w:hAnsi="Times New Roman" w:eastAsia="仿宋_GB2312" w:cs="Times New Roman"/>
              <w:sz w:val="30"/>
              <w:szCs w:val="30"/>
              <w:highlight w:val="none"/>
            </w:rPr>
            <w:tab/>
          </w:r>
          <w:r>
            <w:rPr>
              <w:rFonts w:hint="default" w:ascii="Times New Roman" w:hAnsi="Times New Roman" w:eastAsia="仿宋_GB2312" w:cs="Times New Roman"/>
              <w:sz w:val="30"/>
              <w:szCs w:val="30"/>
              <w:highlight w:val="none"/>
            </w:rPr>
            <w:fldChar w:fldCharType="begin"/>
          </w:r>
          <w:r>
            <w:rPr>
              <w:rFonts w:hint="default" w:ascii="Times New Roman" w:hAnsi="Times New Roman" w:eastAsia="仿宋_GB2312" w:cs="Times New Roman"/>
              <w:sz w:val="30"/>
              <w:szCs w:val="30"/>
              <w:highlight w:val="none"/>
            </w:rPr>
            <w:instrText xml:space="preserve"> PAGEREF _Toc10156 \h </w:instrText>
          </w:r>
          <w:r>
            <w:rPr>
              <w:rFonts w:hint="default" w:ascii="Times New Roman" w:hAnsi="Times New Roman" w:eastAsia="仿宋_GB2312" w:cs="Times New Roman"/>
              <w:sz w:val="30"/>
              <w:szCs w:val="30"/>
              <w:highlight w:val="none"/>
            </w:rPr>
            <w:fldChar w:fldCharType="separate"/>
          </w:r>
          <w:r>
            <w:rPr>
              <w:rFonts w:hint="default" w:ascii="Times New Roman" w:hAnsi="Times New Roman" w:eastAsia="仿宋_GB2312" w:cs="Times New Roman"/>
              <w:sz w:val="30"/>
              <w:szCs w:val="30"/>
              <w:highlight w:val="none"/>
            </w:rPr>
            <w:t>56</w:t>
          </w:r>
          <w:r>
            <w:rPr>
              <w:rFonts w:hint="default" w:ascii="Times New Roman" w:hAnsi="Times New Roman" w:eastAsia="仿宋_GB2312" w:cs="Times New Roman"/>
              <w:sz w:val="30"/>
              <w:szCs w:val="30"/>
              <w:highlight w:val="none"/>
            </w:rPr>
            <w:fldChar w:fldCharType="end"/>
          </w:r>
          <w:r>
            <w:rPr>
              <w:rFonts w:hint="default" w:ascii="Times New Roman" w:hAnsi="Times New Roman" w:eastAsia="仿宋_GB2312" w:cs="Times New Roman"/>
              <w:bCs/>
              <w:color w:val="auto"/>
              <w:kern w:val="2"/>
              <w:sz w:val="30"/>
              <w:szCs w:val="30"/>
              <w:highlight w:val="none"/>
              <w:lang w:val="en-US" w:eastAsia="zh-CN" w:bidi="ar-SA"/>
            </w:rPr>
            <w:fldChar w:fldCharType="end"/>
          </w:r>
        </w:p>
        <w:p w14:paraId="20154DFB">
          <w:pPr>
            <w:keepNext w:val="0"/>
            <w:keepLines w:val="0"/>
            <w:pageBreakBefore w:val="0"/>
            <w:kinsoku/>
            <w:wordWrap/>
            <w:overflowPunct/>
            <w:topLinePunct w:val="0"/>
            <w:autoSpaceDE/>
            <w:autoSpaceDN/>
            <w:bidi w:val="0"/>
            <w:spacing w:before="0" w:beforeLines="0" w:after="0" w:afterLines="0" w:line="360" w:lineRule="auto"/>
            <w:ind w:left="0" w:leftChars="0" w:right="0" w:rightChars="0" w:firstLine="0" w:firstLineChars="0"/>
            <w:jc w:val="both"/>
            <w:textAlignment w:val="auto"/>
            <w:outlineLvl w:val="4"/>
            <w:rPr>
              <w:rStyle w:val="19"/>
              <w:rFonts w:hint="default" w:ascii="Times New Roman" w:hAnsi="Times New Roman" w:eastAsia="黑体" w:cs="Times New Roman"/>
              <w:b w:val="0"/>
              <w:bCs w:val="0"/>
              <w:color w:val="auto"/>
              <w:szCs w:val="32"/>
              <w:highlight w:val="none"/>
              <w:u w:val="none"/>
              <w:lang w:val="en-US" w:eastAsia="zh-CN"/>
            </w:rPr>
            <w:sectPr>
              <w:pgSz w:w="11906" w:h="16838"/>
              <w:pgMar w:top="2098" w:right="1474" w:bottom="1984" w:left="1587" w:header="851" w:footer="992" w:gutter="0"/>
              <w:pgNumType w:fmt="decimal"/>
              <w:cols w:space="0" w:num="1"/>
              <w:rtlGutter w:val="0"/>
              <w:docGrid w:type="lines" w:linePitch="312" w:charSpace="0"/>
            </w:sectPr>
          </w:pPr>
          <w:r>
            <w:rPr>
              <w:rFonts w:hint="default" w:ascii="Times New Roman" w:hAnsi="Times New Roman" w:eastAsia="仿宋_GB2312" w:cs="Times New Roman"/>
              <w:bCs/>
              <w:color w:val="auto"/>
              <w:kern w:val="2"/>
              <w:szCs w:val="28"/>
              <w:highlight w:val="none"/>
              <w:lang w:val="en-US" w:eastAsia="zh-CN" w:bidi="ar-SA"/>
            </w:rPr>
            <w:fldChar w:fldCharType="end"/>
          </w:r>
        </w:p>
      </w:sdtContent>
    </w:sdt>
    <w:p w14:paraId="2978CEE4">
      <w:pPr>
        <w:pStyle w:val="3"/>
        <w:keepNext/>
        <w:keepLines/>
        <w:pageBreakBefore w:val="0"/>
        <w:widowControl w:val="0"/>
        <w:kinsoku/>
        <w:wordWrap/>
        <w:overflowPunct/>
        <w:topLinePunct w:val="0"/>
        <w:autoSpaceDE/>
        <w:autoSpaceDN/>
        <w:bidi w:val="0"/>
        <w:adjustRightInd w:val="0"/>
        <w:snapToGrid w:val="0"/>
        <w:spacing w:before="0" w:after="0" w:line="600" w:lineRule="exact"/>
        <w:ind w:firstLine="0"/>
        <w:jc w:val="center"/>
        <w:textAlignment w:val="auto"/>
        <w:rPr>
          <w:rStyle w:val="19"/>
          <w:rFonts w:hint="default" w:ascii="Times New Roman" w:hAnsi="Times New Roman" w:eastAsia="方正小标宋简体" w:cs="Times New Roman"/>
          <w:b w:val="0"/>
          <w:bCs w:val="0"/>
          <w:color w:val="auto"/>
          <w:sz w:val="44"/>
          <w:szCs w:val="44"/>
          <w:highlight w:val="none"/>
          <w:u w:val="none"/>
          <w:lang w:val="en-US" w:eastAsia="zh-CN"/>
        </w:rPr>
      </w:pPr>
      <w:bookmarkStart w:id="12" w:name="_Toc13413"/>
      <w:bookmarkStart w:id="13" w:name="_Toc18676"/>
      <w:bookmarkStart w:id="14" w:name="_Toc24342"/>
      <w:r>
        <w:rPr>
          <w:rStyle w:val="19"/>
          <w:rFonts w:hint="default" w:ascii="Times New Roman" w:hAnsi="Times New Roman" w:eastAsia="方正小标宋简体" w:cs="Times New Roman"/>
          <w:b w:val="0"/>
          <w:bCs w:val="0"/>
          <w:color w:val="auto"/>
          <w:sz w:val="44"/>
          <w:szCs w:val="44"/>
          <w:highlight w:val="none"/>
          <w:u w:val="none"/>
          <w:lang w:val="en-US" w:eastAsia="zh-CN"/>
        </w:rPr>
        <w:t>前 言</w:t>
      </w:r>
      <w:bookmarkEnd w:id="12"/>
      <w:bookmarkEnd w:id="13"/>
      <w:bookmarkEnd w:id="14"/>
    </w:p>
    <w:p w14:paraId="535E8601">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畜牧业是夹江县农业农村经济的重要支柱产业，是促进农民增收、保障市场供给、推动乡村振兴的关键抓手。</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十四五</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以来，夹江县紧紧围绕省委、省政府和市委、市政府的决策部署，以高质量发展为主线，持续推进畜牧业规模化、标准化、绿色化发展，产业基础不断夯实，产业链条逐步完善，为</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十五五</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时期转型升级奠定了坚实基础。</w:t>
      </w:r>
    </w:p>
    <w:p w14:paraId="5D42A717">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当前，乡村振兴战略深入实施，成渝地区双城经济圈建设加快推进，夹江县畜牧业发展面临新机遇、新要求。为深入贯彻落实中央和省市关于现代农业发展的决策部署，进一步发挥畜牧业在稳产保供、富民强县中的重要作用，特编制《夹江县</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十五五</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畜牧产业发展规划》。本规划立足夹江县资源禀赋、产业基础和政策导向，</w:t>
      </w:r>
      <w:r>
        <w:rPr>
          <w:rFonts w:hint="default" w:ascii="Times New Roman" w:hAnsi="Times New Roman" w:eastAsia="仿宋_GB2312" w:cs="Times New Roman"/>
          <w:color w:val="auto"/>
          <w:sz w:val="32"/>
          <w:szCs w:val="32"/>
          <w:highlight w:val="none"/>
          <w:lang w:val="en-US" w:eastAsia="zh-CN"/>
        </w:rPr>
        <w:t>聚焦蛋鸡优势产业、生猪和其他特色畜牧产业</w:t>
      </w:r>
      <w:r>
        <w:rPr>
          <w:rFonts w:hint="default" w:ascii="Times New Roman" w:hAnsi="Times New Roman" w:eastAsia="仿宋_GB2312" w:cs="Times New Roman"/>
          <w:color w:val="auto"/>
          <w:sz w:val="32"/>
          <w:szCs w:val="32"/>
          <w:highlight w:val="none"/>
        </w:rPr>
        <w:t>，明确未来五年畜牧业发展的总体思路、重点任务和保障措施，着力构建现代畜牧产业体系，推动产业提质增效、绿色发展，为夹江县农业农村现代化和经济社会高质量发展提供有力支撑。</w:t>
      </w:r>
    </w:p>
    <w:p w14:paraId="7BE464F3">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本规划</w:t>
      </w:r>
      <w:r>
        <w:rPr>
          <w:rFonts w:hint="default" w:ascii="Times New Roman" w:hAnsi="Times New Roman" w:eastAsia="仿宋_GB2312" w:cs="Times New Roman"/>
          <w:color w:val="auto"/>
          <w:sz w:val="32"/>
          <w:szCs w:val="32"/>
          <w:highlight w:val="none"/>
        </w:rPr>
        <w:t>基准年为202</w:t>
      </w: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年</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规划期为202</w:t>
      </w:r>
      <w:r>
        <w:rPr>
          <w:rFonts w:hint="default"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rPr>
        <w:t>2030年。</w:t>
      </w:r>
    </w:p>
    <w:p w14:paraId="4F8CEB7A">
      <w:pPr>
        <w:keepNext w:val="0"/>
        <w:keepLines w:val="0"/>
        <w:pageBreakBefore w:val="0"/>
        <w:widowControl w:val="0"/>
        <w:kinsoku/>
        <w:wordWrap/>
        <w:overflowPunct/>
        <w:topLinePunct w:val="0"/>
        <w:autoSpaceDE/>
        <w:autoSpaceDN/>
        <w:bidi w:val="0"/>
        <w:adjustRightInd w:val="0"/>
        <w:snapToGrid w:val="0"/>
        <w:spacing w:line="600" w:lineRule="atLeas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br w:type="page"/>
      </w:r>
    </w:p>
    <w:p w14:paraId="0D580726">
      <w:pPr>
        <w:pStyle w:val="2"/>
        <w:bidi w:val="0"/>
        <w:rPr>
          <w:rStyle w:val="19"/>
          <w:rFonts w:hint="default" w:ascii="Times New Roman" w:hAnsi="Times New Roman" w:eastAsia="方正小标宋简体" w:cs="Times New Roman"/>
          <w:b/>
          <w:bCs/>
          <w:color w:val="auto"/>
          <w:szCs w:val="44"/>
          <w:highlight w:val="none"/>
          <w:u w:val="none"/>
          <w:lang w:val="en-US" w:eastAsia="zh-CN"/>
        </w:rPr>
      </w:pPr>
      <w:bookmarkStart w:id="15" w:name="_Toc22249"/>
      <w:bookmarkStart w:id="16" w:name="_Toc22645"/>
      <w:r>
        <w:rPr>
          <w:rStyle w:val="19"/>
          <w:rFonts w:hint="default" w:ascii="Times New Roman" w:hAnsi="Times New Roman" w:eastAsia="方正小标宋简体" w:cs="Times New Roman"/>
          <w:b w:val="0"/>
          <w:bCs w:val="0"/>
          <w:color w:val="auto"/>
          <w:szCs w:val="44"/>
          <w:highlight w:val="none"/>
          <w:u w:val="none"/>
          <w:lang w:val="en-US" w:eastAsia="zh-CN"/>
        </w:rPr>
        <w:fldChar w:fldCharType="begin"/>
      </w:r>
      <w:r>
        <w:rPr>
          <w:rStyle w:val="19"/>
          <w:rFonts w:hint="default" w:ascii="Times New Roman" w:hAnsi="Times New Roman" w:eastAsia="方正小标宋简体" w:cs="Times New Roman"/>
          <w:b w:val="0"/>
          <w:bCs w:val="0"/>
          <w:color w:val="auto"/>
          <w:szCs w:val="44"/>
          <w:highlight w:val="none"/>
          <w:u w:val="none"/>
          <w:lang w:val="en-US" w:eastAsia="zh-CN"/>
        </w:rPr>
        <w:instrText xml:space="preserve"> HYPERLINK \l "_Toc184626574" </w:instrText>
      </w:r>
      <w:r>
        <w:rPr>
          <w:rStyle w:val="19"/>
          <w:rFonts w:hint="default" w:ascii="Times New Roman" w:hAnsi="Times New Roman" w:eastAsia="方正小标宋简体" w:cs="Times New Roman"/>
          <w:b w:val="0"/>
          <w:bCs w:val="0"/>
          <w:color w:val="auto"/>
          <w:szCs w:val="44"/>
          <w:highlight w:val="none"/>
          <w:u w:val="none"/>
          <w:lang w:val="en-US" w:eastAsia="zh-CN"/>
        </w:rPr>
        <w:fldChar w:fldCharType="separate"/>
      </w:r>
      <w:r>
        <w:rPr>
          <w:rStyle w:val="19"/>
          <w:rFonts w:hint="default" w:ascii="Times New Roman" w:hAnsi="Times New Roman" w:eastAsia="方正小标宋简体" w:cs="Times New Roman"/>
          <w:b w:val="0"/>
          <w:bCs w:val="0"/>
          <w:color w:val="auto"/>
          <w:szCs w:val="44"/>
          <w:highlight w:val="none"/>
          <w:u w:val="none"/>
          <w:lang w:val="en-US" w:eastAsia="zh-CN"/>
        </w:rPr>
        <w:t>第一章</w:t>
      </w:r>
      <w:r>
        <w:rPr>
          <w:rStyle w:val="19"/>
          <w:rFonts w:hint="eastAsia" w:ascii="Times New Roman" w:hAnsi="Times New Roman" w:cs="Times New Roman"/>
          <w:b w:val="0"/>
          <w:bCs w:val="0"/>
          <w:color w:val="auto"/>
          <w:szCs w:val="44"/>
          <w:highlight w:val="none"/>
          <w:u w:val="none"/>
          <w:lang w:val="en-US" w:eastAsia="zh-CN"/>
        </w:rPr>
        <w:t xml:space="preserve"> </w:t>
      </w:r>
      <w:r>
        <w:rPr>
          <w:rStyle w:val="19"/>
          <w:rFonts w:hint="default" w:ascii="Times New Roman" w:hAnsi="Times New Roman" w:eastAsia="方正小标宋简体" w:cs="Times New Roman"/>
          <w:b w:val="0"/>
          <w:bCs w:val="0"/>
          <w:color w:val="auto"/>
          <w:szCs w:val="44"/>
          <w:highlight w:val="none"/>
          <w:u w:val="none"/>
          <w:lang w:val="en-US" w:eastAsia="zh-CN"/>
        </w:rPr>
        <w:t>发展</w:t>
      </w:r>
      <w:r>
        <w:rPr>
          <w:rStyle w:val="19"/>
          <w:rFonts w:hint="default" w:ascii="Times New Roman" w:hAnsi="Times New Roman" w:eastAsia="方正小标宋简体" w:cs="Times New Roman"/>
          <w:b w:val="0"/>
          <w:bCs w:val="0"/>
          <w:color w:val="auto"/>
          <w:szCs w:val="44"/>
          <w:highlight w:val="none"/>
          <w:u w:val="none"/>
          <w:lang w:val="en-US" w:eastAsia="zh-CN"/>
        </w:rPr>
        <w:fldChar w:fldCharType="end"/>
      </w:r>
      <w:r>
        <w:rPr>
          <w:rStyle w:val="19"/>
          <w:rFonts w:hint="default" w:ascii="Times New Roman" w:hAnsi="Times New Roman" w:eastAsia="方正小标宋简体" w:cs="Times New Roman"/>
          <w:b w:val="0"/>
          <w:bCs w:val="0"/>
          <w:color w:val="auto"/>
          <w:szCs w:val="44"/>
          <w:highlight w:val="none"/>
          <w:u w:val="none"/>
          <w:lang w:val="en-US" w:eastAsia="zh-CN"/>
        </w:rPr>
        <w:t>基础</w:t>
      </w:r>
      <w:bookmarkEnd w:id="15"/>
      <w:bookmarkEnd w:id="16"/>
    </w:p>
    <w:p w14:paraId="58ECB271">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Style w:val="19"/>
          <w:rFonts w:hint="default" w:ascii="Times New Roman" w:hAnsi="Times New Roman" w:eastAsia="黑体" w:cs="Times New Roman"/>
          <w:b w:val="0"/>
          <w:bCs/>
          <w:strike w:val="0"/>
          <w:dstrike w:val="0"/>
          <w:color w:val="auto"/>
          <w:szCs w:val="32"/>
          <w:highlight w:val="none"/>
          <w:u w:val="none"/>
          <w:lang w:val="en-US" w:eastAsia="zh-CN"/>
        </w:rPr>
      </w:pPr>
      <w:bookmarkStart w:id="17" w:name="_Toc12497"/>
      <w:bookmarkStart w:id="18" w:name="_Toc8917"/>
      <w:r>
        <w:rPr>
          <w:rFonts w:hint="default" w:ascii="Times New Roman" w:hAnsi="Times New Roman" w:eastAsia="黑体" w:cs="Times New Roman"/>
          <w:b w:val="0"/>
          <w:bCs/>
          <w:strike w:val="0"/>
          <w:dstrike w:val="0"/>
          <w:color w:val="auto"/>
          <w:kern w:val="2"/>
          <w:sz w:val="32"/>
          <w:szCs w:val="32"/>
          <w:lang w:val="en-US" w:eastAsia="zh-CN" w:bidi="ar-SA"/>
        </w:rPr>
        <w:t>一、</w:t>
      </w:r>
      <w:r>
        <w:rPr>
          <w:rStyle w:val="19"/>
          <w:rFonts w:hint="default" w:ascii="Times New Roman" w:hAnsi="Times New Roman" w:eastAsia="黑体" w:cs="Times New Roman"/>
          <w:b w:val="0"/>
          <w:bCs/>
          <w:strike w:val="0"/>
          <w:dstrike w:val="0"/>
          <w:color w:val="auto"/>
          <w:szCs w:val="32"/>
          <w:highlight w:val="none"/>
          <w:u w:val="none"/>
          <w:lang w:val="en-US" w:eastAsia="zh-CN"/>
        </w:rPr>
        <w:fldChar w:fldCharType="begin"/>
      </w:r>
      <w:r>
        <w:rPr>
          <w:rStyle w:val="19"/>
          <w:rFonts w:hint="default" w:ascii="Times New Roman" w:hAnsi="Times New Roman" w:eastAsia="黑体" w:cs="Times New Roman"/>
          <w:b w:val="0"/>
          <w:bCs/>
          <w:strike w:val="0"/>
          <w:dstrike w:val="0"/>
          <w:color w:val="auto"/>
          <w:szCs w:val="32"/>
          <w:highlight w:val="none"/>
          <w:u w:val="none"/>
          <w:lang w:val="en-US" w:eastAsia="zh-CN"/>
        </w:rPr>
        <w:instrText xml:space="preserve"> HYPERLINK \l "_Toc184626570" </w:instrText>
      </w:r>
      <w:r>
        <w:rPr>
          <w:rStyle w:val="19"/>
          <w:rFonts w:hint="default" w:ascii="Times New Roman" w:hAnsi="Times New Roman" w:eastAsia="黑体" w:cs="Times New Roman"/>
          <w:b w:val="0"/>
          <w:bCs/>
          <w:strike w:val="0"/>
          <w:dstrike w:val="0"/>
          <w:color w:val="auto"/>
          <w:szCs w:val="32"/>
          <w:highlight w:val="none"/>
          <w:u w:val="none"/>
          <w:lang w:val="en-US" w:eastAsia="zh-CN"/>
        </w:rPr>
        <w:fldChar w:fldCharType="separate"/>
      </w:r>
      <w:r>
        <w:rPr>
          <w:rStyle w:val="19"/>
          <w:rFonts w:hint="default" w:ascii="Times New Roman" w:hAnsi="Times New Roman" w:eastAsia="黑体" w:cs="Times New Roman"/>
          <w:b w:val="0"/>
          <w:bCs/>
          <w:strike w:val="0"/>
          <w:dstrike w:val="0"/>
          <w:color w:val="auto"/>
          <w:szCs w:val="32"/>
          <w:highlight w:val="none"/>
          <w:u w:val="none"/>
          <w:lang w:val="en-US" w:eastAsia="zh-CN"/>
        </w:rPr>
        <w:t>产业基础</w:t>
      </w:r>
      <w:r>
        <w:rPr>
          <w:rStyle w:val="19"/>
          <w:rFonts w:hint="default" w:ascii="Times New Roman" w:hAnsi="Times New Roman" w:eastAsia="黑体" w:cs="Times New Roman"/>
          <w:b w:val="0"/>
          <w:bCs/>
          <w:strike w:val="0"/>
          <w:dstrike w:val="0"/>
          <w:color w:val="auto"/>
          <w:szCs w:val="32"/>
          <w:highlight w:val="none"/>
          <w:u w:val="none"/>
          <w:lang w:val="en-US" w:eastAsia="zh-CN"/>
        </w:rPr>
        <w:fldChar w:fldCharType="end"/>
      </w:r>
      <w:bookmarkEnd w:id="17"/>
      <w:bookmarkEnd w:id="18"/>
    </w:p>
    <w:p w14:paraId="195F7840">
      <w:pPr>
        <w:keepNext w:val="0"/>
        <w:keepLines w:val="0"/>
        <w:pageBreakBefore w:val="0"/>
        <w:widowControl w:val="0"/>
        <w:suppressLineNumbers w:val="0"/>
        <w:kinsoku/>
        <w:wordWrap/>
        <w:overflowPunct/>
        <w:topLinePunct w:val="0"/>
        <w:autoSpaceDE/>
        <w:autoSpaceDN/>
        <w:bidi w:val="0"/>
        <w:adjustRightInd w:val="0"/>
        <w:snapToGrid w:val="0"/>
        <w:spacing w:line="600" w:lineRule="exact"/>
        <w:ind w:left="0" w:leftChars="0" w:firstLine="643"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lang w:val="en-US" w:eastAsia="zh-CN"/>
        </w:rPr>
        <w:t>发展态势持续向好。</w:t>
      </w:r>
      <w:r>
        <w:rPr>
          <w:rFonts w:hint="default" w:ascii="Times New Roman" w:hAnsi="Times New Roman" w:eastAsia="仿宋_GB2312" w:cs="Times New Roman"/>
          <w:b w:val="0"/>
          <w:bCs w:val="0"/>
          <w:color w:val="auto"/>
          <w:sz w:val="32"/>
          <w:szCs w:val="32"/>
          <w:highlight w:val="none"/>
          <w:lang w:val="en-US" w:eastAsia="zh-CN"/>
        </w:rPr>
        <w:t>夹江县</w:t>
      </w:r>
      <w:r>
        <w:rPr>
          <w:rFonts w:hint="default" w:ascii="Times New Roman" w:hAnsi="Times New Roman" w:eastAsia="仿宋_GB2312" w:cs="Times New Roman"/>
          <w:color w:val="auto"/>
          <w:sz w:val="32"/>
          <w:szCs w:val="32"/>
          <w:highlight w:val="none"/>
          <w:lang w:val="en-US" w:eastAsia="zh-CN"/>
        </w:rPr>
        <w:t>作为四川省生猪生产基地县、肉鸡蛋鸡产业重点县以及全国首批兽用抗菌药使用减量化行动成效显著县，2025年全县畜牧产业产值达12.9亿元，占农林牧渔总产值</w:t>
      </w:r>
      <w:r>
        <w:rPr>
          <w:rFonts w:hint="default" w:ascii="Times New Roman" w:hAnsi="Times New Roman" w:eastAsia="仿宋_GB2312" w:cs="Times New Roman"/>
          <w:color w:val="auto"/>
          <w:kern w:val="2"/>
          <w:sz w:val="32"/>
          <w:szCs w:val="32"/>
          <w:highlight w:val="none"/>
          <w:lang w:val="en-US" w:eastAsia="zh-CN" w:bidi="ar-SA"/>
        </w:rPr>
        <w:t>的</w:t>
      </w:r>
      <w:r>
        <w:rPr>
          <w:rFonts w:hint="default" w:ascii="Times New Roman" w:hAnsi="Times New Roman" w:eastAsia="仿宋_GB2312" w:cs="Times New Roman"/>
          <w:color w:val="auto"/>
          <w:sz w:val="32"/>
          <w:szCs w:val="32"/>
          <w:highlight w:val="none"/>
          <w:lang w:val="en-US" w:eastAsia="zh-CN"/>
        </w:rPr>
        <w:t>23.93%，畜牧业在县域经济中地位重要。肉类总产量2.44万吨，禽蛋总产量3万吨；生猪年出栏量20.19万头，猪肉产量1.61万吨，占肉类总产量的66.2%，实现产值4.67亿元，占畜牧业总产值的36.2%；肉牛年出栏量0.17万头，羊年出栏量0.22万只，肉兔年出栏33万只；家禽年出栏量500万只，其中活鸡年出栏量397万只，畜牧产业发展态势良好。</w:t>
      </w:r>
    </w:p>
    <w:p w14:paraId="77E0873A">
      <w:pPr>
        <w:keepNext w:val="0"/>
        <w:keepLines w:val="0"/>
        <w:pageBreakBefore w:val="0"/>
        <w:widowControl w:val="0"/>
        <w:suppressLineNumbers w:val="0"/>
        <w:kinsoku/>
        <w:wordWrap/>
        <w:overflowPunct/>
        <w:topLinePunct w:val="0"/>
        <w:autoSpaceDE/>
        <w:autoSpaceDN/>
        <w:bidi w:val="0"/>
        <w:adjustRightInd w:val="0"/>
        <w:snapToGrid w:val="0"/>
        <w:spacing w:line="600" w:lineRule="exact"/>
        <w:ind w:left="0" w:leftChars="0" w:firstLine="643"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lang w:val="en-US" w:eastAsia="zh-CN"/>
        </w:rPr>
        <w:t>规模养殖水平显著提升。</w:t>
      </w:r>
      <w:r>
        <w:rPr>
          <w:rFonts w:hint="default" w:ascii="Times New Roman" w:hAnsi="Times New Roman" w:eastAsia="仿宋_GB2312" w:cs="Times New Roman"/>
          <w:color w:val="auto"/>
          <w:sz w:val="32"/>
          <w:szCs w:val="32"/>
          <w:highlight w:val="none"/>
          <w:lang w:val="en-US" w:eastAsia="zh-CN"/>
        </w:rPr>
        <w:t>生猪、蛋鸡、肉牛、肉鸭、肉兔的规模化养殖占比分别为86.5%、95%、65.27%、88.80%和50.23%。</w:t>
      </w:r>
      <w:r>
        <w:rPr>
          <w:rFonts w:hint="default" w:ascii="Times New Roman" w:hAnsi="Times New Roman" w:eastAsia="仿宋_GB2312" w:cs="Times New Roman"/>
          <w:b/>
          <w:bCs/>
          <w:color w:val="auto"/>
          <w:sz w:val="32"/>
          <w:szCs w:val="32"/>
          <w:highlight w:val="none"/>
          <w:lang w:val="en-US" w:eastAsia="zh-CN"/>
        </w:rPr>
        <w:t>一是</w:t>
      </w:r>
      <w:r>
        <w:rPr>
          <w:rFonts w:hint="default" w:ascii="Times New Roman" w:hAnsi="Times New Roman" w:eastAsia="仿宋_GB2312" w:cs="Times New Roman"/>
          <w:color w:val="auto"/>
          <w:sz w:val="32"/>
          <w:szCs w:val="32"/>
          <w:highlight w:val="none"/>
          <w:lang w:val="en-US" w:eastAsia="zh-CN"/>
        </w:rPr>
        <w:t>全县各镇均存在生猪养殖活动，全县拥有生猪养殖备案场290个。漹城街道、青衣街道以少量散户养殖为主；甘江镇、吴场镇、新场镇、黄土镇生猪年出栏量</w:t>
      </w:r>
      <w:r>
        <w:rPr>
          <w:rFonts w:hint="default" w:ascii="Times New Roman" w:hAnsi="Times New Roman" w:eastAsia="仿宋_GB2312" w:cs="Times New Roman"/>
          <w:color w:val="auto"/>
          <w:kern w:val="2"/>
          <w:sz w:val="32"/>
          <w:szCs w:val="32"/>
          <w:highlight w:val="none"/>
          <w:lang w:val="en-US" w:eastAsia="zh-CN" w:bidi="ar-SA"/>
        </w:rPr>
        <w:t>较</w:t>
      </w:r>
      <w:r>
        <w:rPr>
          <w:rFonts w:hint="default" w:ascii="Times New Roman" w:hAnsi="Times New Roman" w:eastAsia="仿宋_GB2312" w:cs="Times New Roman"/>
          <w:color w:val="auto"/>
          <w:sz w:val="32"/>
          <w:szCs w:val="32"/>
          <w:highlight w:val="none"/>
          <w:lang w:val="en-US" w:eastAsia="zh-CN"/>
        </w:rPr>
        <w:t>大，规模化养殖程度较高，规模养殖场分别位于甘江镇青峰村、顺河村、定惠村、新兴村，吴场镇丰收村、百茶村、三管村、新合村，新场镇团结村、万福村、东山村、红旗社区、刘水碾村、欣凤村、新新社区、营房村，黄土镇茶坊村、马冲村、张桥村和水口村。</w:t>
      </w:r>
      <w:r>
        <w:rPr>
          <w:rFonts w:hint="default" w:ascii="Times New Roman" w:hAnsi="Times New Roman" w:eastAsia="仿宋_GB2312" w:cs="Times New Roman"/>
          <w:b/>
          <w:bCs/>
          <w:color w:val="auto"/>
          <w:sz w:val="32"/>
          <w:szCs w:val="32"/>
          <w:highlight w:val="none"/>
          <w:lang w:val="en-US" w:eastAsia="zh-CN"/>
        </w:rPr>
        <w:t>二是</w:t>
      </w:r>
      <w:r>
        <w:rPr>
          <w:rFonts w:hint="default" w:ascii="Times New Roman" w:hAnsi="Times New Roman" w:eastAsia="仿宋_GB2312" w:cs="Times New Roman"/>
          <w:color w:val="auto"/>
          <w:sz w:val="32"/>
          <w:szCs w:val="32"/>
          <w:highlight w:val="none"/>
          <w:lang w:val="en-US" w:eastAsia="zh-CN"/>
        </w:rPr>
        <w:t>蛋鸡养殖优势显著，累计创建部省级蛋鸡标准化示范场6个，其中部级1个、省级5个。漹城街道、青衣街道、甘江镇、华头镇蛋鸡</w:t>
      </w:r>
      <w:r>
        <w:rPr>
          <w:rFonts w:hint="default" w:ascii="Times New Roman" w:hAnsi="Times New Roman" w:eastAsia="仿宋_GB2312" w:cs="Times New Roman"/>
          <w:color w:val="auto"/>
          <w:kern w:val="2"/>
          <w:sz w:val="32"/>
          <w:szCs w:val="32"/>
          <w:highlight w:val="none"/>
          <w:lang w:val="en-US" w:eastAsia="zh-CN" w:bidi="ar-SA"/>
        </w:rPr>
        <w:t>养殖</w:t>
      </w:r>
      <w:r>
        <w:rPr>
          <w:rFonts w:hint="default" w:ascii="Times New Roman" w:hAnsi="Times New Roman" w:eastAsia="仿宋_GB2312" w:cs="Times New Roman"/>
          <w:color w:val="auto"/>
          <w:sz w:val="32"/>
          <w:szCs w:val="32"/>
          <w:highlight w:val="none"/>
          <w:lang w:val="en-US" w:eastAsia="zh-CN"/>
        </w:rPr>
        <w:t>以农户分散养殖为主；蛋鸡产业主要集中于木城镇、吴场镇、新场镇、黄土镇、马村镇规模化程度</w:t>
      </w:r>
      <w:r>
        <w:rPr>
          <w:rFonts w:hint="default" w:ascii="Times New Roman" w:hAnsi="Times New Roman" w:eastAsia="仿宋_GB2312" w:cs="Times New Roman"/>
          <w:color w:val="auto"/>
          <w:kern w:val="2"/>
          <w:sz w:val="32"/>
          <w:szCs w:val="32"/>
          <w:highlight w:val="none"/>
          <w:lang w:val="en-US" w:eastAsia="zh-CN" w:bidi="ar-SA"/>
        </w:rPr>
        <w:t>较</w:t>
      </w:r>
      <w:r>
        <w:rPr>
          <w:rFonts w:hint="default" w:ascii="Times New Roman" w:hAnsi="Times New Roman" w:eastAsia="仿宋_GB2312" w:cs="Times New Roman"/>
          <w:color w:val="auto"/>
          <w:sz w:val="32"/>
          <w:szCs w:val="32"/>
          <w:highlight w:val="none"/>
          <w:lang w:val="en-US" w:eastAsia="zh-CN"/>
        </w:rPr>
        <w:t>高，规模养殖场分别位于木城镇群星村、迎江村、石香村、泉水村，吴场镇百茶村、新合村、建川村、仁和村、三洞桥社区，新场镇刘水碾村、团结村，黄土镇盘龙村、马村镇带河村。</w:t>
      </w:r>
      <w:r>
        <w:rPr>
          <w:rFonts w:hint="default" w:ascii="Times New Roman" w:hAnsi="Times New Roman" w:eastAsia="仿宋_GB2312" w:cs="Times New Roman"/>
          <w:b/>
          <w:bCs/>
          <w:color w:val="auto"/>
          <w:sz w:val="32"/>
          <w:szCs w:val="32"/>
          <w:highlight w:val="none"/>
          <w:lang w:val="en-US" w:eastAsia="zh-CN"/>
        </w:rPr>
        <w:t>三是</w:t>
      </w:r>
      <w:r>
        <w:rPr>
          <w:rFonts w:hint="default" w:ascii="Times New Roman" w:hAnsi="Times New Roman" w:eastAsia="仿宋_GB2312" w:cs="Times New Roman"/>
          <w:color w:val="auto"/>
          <w:sz w:val="32"/>
          <w:szCs w:val="32"/>
          <w:highlight w:val="none"/>
          <w:lang w:val="en-US" w:eastAsia="zh-CN"/>
        </w:rPr>
        <w:t>黄土镇、马村镇、木城镇、新场镇肉鸭养殖数量较少，规模化程度较低，规模养殖场仅有4个；吴场镇、甘江镇肉鸭养殖数量较多，规模化程度较高，规模养殖场位于吴场镇三管村、新合村，甘江镇甘霖村、顺河村、甘江社区、甘露村、新兴村。现有省级园区夹江茶叶生猪种养循环现代农业园区，市级园区木城茶畜园区和吴场镇蛋鸡产业现代农业园区。</w:t>
      </w:r>
    </w:p>
    <w:p w14:paraId="417709F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lang w:val="en-US" w:eastAsia="zh-CN"/>
        </w:rPr>
        <w:t>饲料产能充足，结构升级在即。</w:t>
      </w:r>
      <w:r>
        <w:rPr>
          <w:rFonts w:hint="default" w:ascii="Times New Roman" w:hAnsi="Times New Roman" w:eastAsia="仿宋_GB2312" w:cs="Times New Roman"/>
          <w:color w:val="auto"/>
          <w:sz w:val="32"/>
          <w:szCs w:val="32"/>
          <w:highlight w:val="none"/>
          <w:lang w:val="en-US" w:eastAsia="zh-CN"/>
        </w:rPr>
        <w:t>现有工业饲料企业9家，主要分布在新场镇、黄土镇、甘江镇等畜禽核心产区，饲料年产能达146.1万吨，占乐山市全市71%，饲料往县外销售比例约为30%—40%，基于目前畜禽养殖规模对工业饲料需求来看，完全能满足县内畜禽养殖需求。全县饲料厂产能利用率普遍低于50%，面临产能过剩的压力。饲料销售模式以直销和经销相结合，直销主要针对大型养殖场，由饲料企业直接向养殖场提供产品与服务。对于小型养殖场的需求，则多采用经销商模式。中小饲料企业因成本压力、环保政策及市场竞争加剧，已逐步退出市场。乐山厚全生物科技有限公司、四川铁骑力士实业有限公司、乐山双胞胎饲料有限公司等大企业通过并购整合，市场份额进一步集中，但整个行业仍面临供大于求的困境，饲料产业还需提档升级，往优质、安全方向发展。</w:t>
      </w:r>
    </w:p>
    <w:p w14:paraId="21CB16A8">
      <w:pPr>
        <w:keepNext w:val="0"/>
        <w:keepLines w:val="0"/>
        <w:pageBreakBefore w:val="0"/>
        <w:widowControl w:val="0"/>
        <w:suppressLineNumbers w:val="0"/>
        <w:kinsoku/>
        <w:wordWrap/>
        <w:overflowPunct/>
        <w:topLinePunct w:val="0"/>
        <w:autoSpaceDE/>
        <w:autoSpaceDN/>
        <w:bidi w:val="0"/>
        <w:adjustRightInd w:val="0"/>
        <w:snapToGrid w:val="0"/>
        <w:spacing w:line="600" w:lineRule="exact"/>
        <w:ind w:left="0" w:leftChars="0" w:firstLine="643"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lang w:val="en-US" w:eastAsia="zh-CN"/>
        </w:rPr>
        <w:t>科技赋能驱动产业创新。</w:t>
      </w:r>
      <w:r>
        <w:rPr>
          <w:rFonts w:hint="default" w:ascii="Times New Roman" w:hAnsi="Times New Roman" w:eastAsia="仿宋_GB2312" w:cs="Times New Roman"/>
          <w:color w:val="auto"/>
          <w:sz w:val="32"/>
          <w:szCs w:val="32"/>
          <w:highlight w:val="none"/>
          <w:lang w:val="en-US" w:eastAsia="zh-CN"/>
        </w:rPr>
        <w:t>全县与国内顶尖的动物科学技术研究机构——中国农业大学动物科学技术学院及四川农业大学动物营养研究所建立了深入的合作关系，共同致力于肉鸡蛋鸡产业的创新发展。已建教授工作站、博士工作站和乐山市专家工作站各1个，组建了专家团队3个，建立蛋种鸡育种基地1个。在“优质安全鸡蛋高效生产的饲料营养调控关键技术研发与应用”项目中，取得了突破性成果，荣获四川省科学技术进步一等奖。全县生猪良繁体系已构建完成，现有巨星甘江种猪场、夹江天农光荣种猪场、四川傲农新泽希畜牧业有限公司大型种猪场3个。</w:t>
      </w:r>
    </w:p>
    <w:p w14:paraId="2B16AE14">
      <w:pPr>
        <w:keepNext w:val="0"/>
        <w:keepLines w:val="0"/>
        <w:pageBreakBefore w:val="0"/>
        <w:widowControl w:val="0"/>
        <w:suppressLineNumbers w:val="0"/>
        <w:kinsoku/>
        <w:wordWrap/>
        <w:overflowPunct/>
        <w:topLinePunct w:val="0"/>
        <w:autoSpaceDE/>
        <w:autoSpaceDN/>
        <w:bidi w:val="0"/>
        <w:adjustRightInd w:val="0"/>
        <w:snapToGrid w:val="0"/>
        <w:spacing w:line="600" w:lineRule="exact"/>
        <w:ind w:left="0" w:leftChars="0" w:firstLine="643"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lang w:val="en-US" w:eastAsia="zh-CN"/>
        </w:rPr>
        <w:t>龙头主体引领，联农带农增效。</w:t>
      </w:r>
      <w:r>
        <w:rPr>
          <w:rFonts w:hint="default" w:ascii="Times New Roman" w:hAnsi="Times New Roman" w:eastAsia="仿宋_GB2312" w:cs="Times New Roman"/>
          <w:color w:val="auto"/>
          <w:sz w:val="32"/>
          <w:szCs w:val="32"/>
          <w:highlight w:val="none"/>
          <w:lang w:val="en-US" w:eastAsia="zh-CN"/>
        </w:rPr>
        <w:t>全县畜禽类农业产业化龙头企业</w:t>
      </w:r>
      <w:r>
        <w:rPr>
          <w:rFonts w:hint="default" w:ascii="Times New Roman" w:hAnsi="Times New Roman" w:eastAsia="仿宋_GB2312" w:cs="Times New Roman"/>
          <w:color w:val="auto"/>
          <w:kern w:val="2"/>
          <w:sz w:val="32"/>
          <w:szCs w:val="32"/>
          <w:highlight w:val="none"/>
          <w:lang w:val="en-US" w:eastAsia="zh-CN" w:bidi="ar-SA"/>
        </w:rPr>
        <w:t>达</w:t>
      </w:r>
      <w:r>
        <w:rPr>
          <w:rFonts w:hint="default" w:ascii="Times New Roman" w:hAnsi="Times New Roman" w:eastAsia="仿宋_GB2312" w:cs="Times New Roman"/>
          <w:color w:val="auto"/>
          <w:sz w:val="32"/>
          <w:szCs w:val="32"/>
          <w:highlight w:val="none"/>
          <w:lang w:val="en-US" w:eastAsia="zh-CN"/>
        </w:rPr>
        <w:t>5家，生猪仅有四川傲农新泽希畜牧业有限公司1家市级农业产业化龙头企业。四川厚全生态农业有限公司作为国家级农业产业化龙头企业和蛋鸡产业建圈强链重点企业，打造了“百茶园区”“新合园区”“迎江园区”等多个现代化蛋鸡养殖基地，</w:t>
      </w:r>
      <w:r>
        <w:rPr>
          <w:rFonts w:hint="default" w:ascii="Times New Roman" w:hAnsi="Times New Roman" w:eastAsia="仿宋_GB2312" w:cs="Times New Roman"/>
          <w:color w:val="auto"/>
          <w:kern w:val="2"/>
          <w:sz w:val="32"/>
          <w:szCs w:val="32"/>
          <w:highlight w:val="none"/>
          <w:lang w:val="en-US" w:eastAsia="zh-CN" w:bidi="ar-SA"/>
        </w:rPr>
        <w:t>成功</w:t>
      </w:r>
      <w:r>
        <w:rPr>
          <w:rFonts w:hint="default" w:ascii="Times New Roman" w:hAnsi="Times New Roman" w:eastAsia="仿宋_GB2312" w:cs="Times New Roman"/>
          <w:color w:val="auto"/>
          <w:sz w:val="32"/>
          <w:szCs w:val="32"/>
          <w:highlight w:val="none"/>
          <w:lang w:val="en-US" w:eastAsia="zh-CN"/>
        </w:rPr>
        <w:t>入选全国鸡蛋期货交易指定交割库，并被确定为大商所产融培育基地。全县</w:t>
      </w:r>
      <w:r>
        <w:rPr>
          <w:rFonts w:hint="default" w:ascii="Times New Roman" w:hAnsi="Times New Roman" w:eastAsia="仿宋_GB2312" w:cs="Times New Roman"/>
          <w:color w:val="auto"/>
          <w:kern w:val="2"/>
          <w:sz w:val="32"/>
          <w:szCs w:val="32"/>
          <w:highlight w:val="none"/>
          <w:lang w:val="en-US" w:eastAsia="zh-CN" w:bidi="ar-SA"/>
        </w:rPr>
        <w:t>现有畜禽类</w:t>
      </w:r>
      <w:r>
        <w:rPr>
          <w:rFonts w:hint="default" w:ascii="Times New Roman" w:hAnsi="Times New Roman" w:eastAsia="仿宋_GB2312" w:cs="Times New Roman"/>
          <w:color w:val="auto"/>
          <w:sz w:val="32"/>
          <w:szCs w:val="32"/>
          <w:highlight w:val="none"/>
          <w:lang w:val="en-US" w:eastAsia="zh-CN"/>
        </w:rPr>
        <w:t>专业合作社68家，省级示范农民专业合作社1家，家庭养殖场491家，养殖大户2908户。其中蛋鸡产业通过创新推行“公司+农户”“合作社+农户”“订单农业+就业拉动”三种模式，形成强大发展合力，有力促进蛋鸡产业提质增效，带动新增从业人员1311人，实现人均增收8000元以上。</w:t>
      </w:r>
    </w:p>
    <w:p w14:paraId="4A7849B4">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lang w:val="en-US" w:eastAsia="zh-CN"/>
        </w:rPr>
        <w:t>加工与品牌建设稳步推进。</w:t>
      </w:r>
      <w:r>
        <w:rPr>
          <w:rFonts w:hint="default" w:ascii="Times New Roman" w:hAnsi="Times New Roman" w:eastAsia="仿宋_GB2312" w:cs="Times New Roman"/>
          <w:color w:val="auto"/>
          <w:sz w:val="32"/>
          <w:szCs w:val="32"/>
          <w:highlight w:val="none"/>
          <w:lang w:val="en-US" w:eastAsia="zh-CN"/>
        </w:rPr>
        <w:t>全县拥有生猪屠宰场4家，年生猪屠宰量达8.7万头，猪肉产地冷藏保鲜能力为5712吨，肉类冷链流通率为37.43%。禽类屠宰企业有2家，年禽类屠宰量为1081万只，禽类产地冷藏保鲜能力为2400吨，禽肉冷链流通率为29.58%。“夹江鸡蛋”已申报为名特优新产品，同时培育了四川厚全集团国家级农业产业化龙头企业，并打造了厚全“大运蛋”等在全国知名的鸡蛋品牌。</w:t>
      </w:r>
    </w:p>
    <w:p w14:paraId="2E26CE5A">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lang w:val="en-US" w:eastAsia="zh-CN"/>
        </w:rPr>
        <w:t>粪污资源化利用成效突出。</w:t>
      </w:r>
      <w:r>
        <w:rPr>
          <w:rFonts w:hint="default" w:ascii="Times New Roman" w:hAnsi="Times New Roman" w:eastAsia="仿宋_GB2312" w:cs="Times New Roman"/>
          <w:color w:val="auto"/>
          <w:sz w:val="32"/>
          <w:szCs w:val="32"/>
          <w:highlight w:val="none"/>
          <w:lang w:val="en-US" w:eastAsia="zh-CN"/>
        </w:rPr>
        <w:t>借助“种养循环”“区域性集中处理”“沼气能源利用”三种畜禽粪污资源化利用模式，构建“猪-沼-茶”生态种养循环体系，种养循环面积2000亩，年消纳沼液约6万立方米。四川厚金生态环境科技有限公司、四川厚全生态农业有限公司等养殖企业通过区域性畜禽粪污处理中心（有机肥厂），规模养殖场粪污处理设施装备配套率达100%，畜禽粪污综合利用率为91.43%，病死畜禽无害化处理率达100%。</w:t>
      </w:r>
    </w:p>
    <w:p w14:paraId="653A8663">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19" w:name="_Toc15253"/>
      <w:bookmarkStart w:id="20" w:name="_Toc4931"/>
      <w:r>
        <w:rPr>
          <w:rFonts w:hint="default" w:ascii="Times New Roman" w:hAnsi="Times New Roman" w:eastAsia="黑体" w:cs="Times New Roman"/>
          <w:b w:val="0"/>
          <w:bCs/>
          <w:strike w:val="0"/>
          <w:dstrike w:val="0"/>
          <w:color w:val="auto"/>
          <w:kern w:val="2"/>
          <w:sz w:val="32"/>
          <w:szCs w:val="32"/>
          <w:lang w:val="en-US" w:eastAsia="zh-CN" w:bidi="ar-SA"/>
        </w:rPr>
        <w:t>二、承载量预测</w:t>
      </w:r>
      <w:bookmarkEnd w:id="19"/>
      <w:bookmarkEnd w:id="20"/>
    </w:p>
    <w:p w14:paraId="5D9D653D">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根据《四川省畜禽养殖污染防治技术指南（试行）》（川农业函〔2017〕647号）：“5头猪相当于1头肉牛、1头猪相当于3只羊、1头猪相当于30羽蛋鸡、1头猪相当于60羽肉鸡、1头猪相当于30只兔”，进行猪当量折算，折合标准猪存栏量为561274头。本方案根据《四川省畜禽养殖污染防治技术指南（试行）》（川农业函〔2017〕647号）、《耕地畜禽承载能力研究及四川农区养殖环境容量与风险评估》和《畜禽养殖业污染物排放标准》等相关要求，对夹江县畜禽粪污土地适宜承载力按照“出栏3头猪/亩/年、存栏按照出栏2头猪/亩/年”标准进行测算。</w:t>
      </w:r>
    </w:p>
    <w:p w14:paraId="24237D9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得出以下结论：全县畜禽粪污消纳需土地187091.39亩，耕地面积222063.86亩，在总体分布上，全县畜禽养殖规模未超过土地适宜承载力标准。在区域分布上，木城镇、吴场镇、新场镇、黄土镇等乡镇的部分区域畜禽养殖量超过土地适宜承载力。因此，未来产业发展过程中需重视畜禽粪污的区域消纳不平衡的问题，一是通过大力推进制作有机干肥外销，促进加工后异地消纳；二是优化养殖场布局，协调周边镇（街道）对畜禽粪污进行合理消纳，推动“以种定养，种养结合”，避免对环境造成过大压力。</w:t>
      </w:r>
    </w:p>
    <w:tbl>
      <w:tblPr>
        <w:tblStyle w:val="15"/>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3"/>
        <w:gridCol w:w="1897"/>
        <w:gridCol w:w="2370"/>
        <w:gridCol w:w="1295"/>
        <w:gridCol w:w="2006"/>
      </w:tblGrid>
      <w:tr w14:paraId="0B297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006" w:type="dxa"/>
            <w:gridSpan w:val="5"/>
            <w:vAlign w:val="center"/>
          </w:tcPr>
          <w:p w14:paraId="128B515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b/>
                <w:bCs/>
                <w:color w:val="auto"/>
                <w:sz w:val="24"/>
                <w:szCs w:val="24"/>
                <w:highlight w:val="none"/>
                <w:vertAlign w:val="baseline"/>
                <w:lang w:val="en-US" w:eastAsia="zh-CN"/>
              </w:rPr>
              <w:t>表1-1夹江县畜禽粪污土地承载力测算表</w:t>
            </w:r>
          </w:p>
        </w:tc>
      </w:tr>
      <w:tr w14:paraId="26CF4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493" w:type="dxa"/>
            <w:vAlign w:val="center"/>
          </w:tcPr>
          <w:p w14:paraId="4B0F97C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养殖类型</w:t>
            </w:r>
          </w:p>
        </w:tc>
        <w:tc>
          <w:tcPr>
            <w:tcW w:w="1897" w:type="dxa"/>
            <w:vAlign w:val="center"/>
          </w:tcPr>
          <w:p w14:paraId="194FB30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现状数据（头/只/羽）</w:t>
            </w:r>
          </w:p>
        </w:tc>
        <w:tc>
          <w:tcPr>
            <w:tcW w:w="2370" w:type="dxa"/>
            <w:vAlign w:val="center"/>
          </w:tcPr>
          <w:p w14:paraId="47ADF22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猪当量折算标准（头/只/羽）</w:t>
            </w:r>
          </w:p>
        </w:tc>
        <w:tc>
          <w:tcPr>
            <w:tcW w:w="1295" w:type="dxa"/>
            <w:vAlign w:val="center"/>
          </w:tcPr>
          <w:p w14:paraId="3384338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猪当量折算量</w:t>
            </w:r>
          </w:p>
        </w:tc>
        <w:tc>
          <w:tcPr>
            <w:tcW w:w="2006" w:type="dxa"/>
            <w:vAlign w:val="center"/>
          </w:tcPr>
          <w:p w14:paraId="58B623F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土地承载力测算（亩）</w:t>
            </w:r>
          </w:p>
        </w:tc>
      </w:tr>
      <w:tr w14:paraId="0D9A6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3" w:type="dxa"/>
            <w:vAlign w:val="center"/>
          </w:tcPr>
          <w:p w14:paraId="2035B1A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生猪年出栏</w:t>
            </w:r>
          </w:p>
        </w:tc>
        <w:tc>
          <w:tcPr>
            <w:tcW w:w="1897" w:type="dxa"/>
            <w:vAlign w:val="center"/>
          </w:tcPr>
          <w:p w14:paraId="76D2551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268679</w:t>
            </w:r>
          </w:p>
        </w:tc>
        <w:tc>
          <w:tcPr>
            <w:tcW w:w="2370" w:type="dxa"/>
            <w:vAlign w:val="center"/>
          </w:tcPr>
          <w:p w14:paraId="61962BC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w:t>
            </w:r>
          </w:p>
        </w:tc>
        <w:tc>
          <w:tcPr>
            <w:tcW w:w="1295" w:type="dxa"/>
            <w:vAlign w:val="center"/>
          </w:tcPr>
          <w:p w14:paraId="6E47FE32">
            <w:pPr>
              <w:keepNext w:val="0"/>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C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268679</w:t>
            </w:r>
          </w:p>
        </w:tc>
        <w:tc>
          <w:tcPr>
            <w:tcW w:w="2006" w:type="dxa"/>
            <w:vAlign w:val="center"/>
          </w:tcPr>
          <w:p w14:paraId="1418BE45">
            <w:pPr>
              <w:keepNext w:val="0"/>
              <w:keepLines w:val="0"/>
              <w:widowControl/>
              <w:suppressLineNumbers w:val="0"/>
              <w:snapToGrid w:val="0"/>
              <w:spacing w:line="240" w:lineRule="auto"/>
              <w:ind w:left="0" w:leftChars="0" w:right="0" w:rightChars="0" w:firstLine="0" w:firstLineChars="0"/>
              <w:jc w:val="right"/>
              <w:textAlignment w:val="center"/>
              <w:rPr>
                <w:rFonts w:hint="default" w:ascii="Times New Roman" w:hAnsi="Times New Roman" w:eastAsia="仿宋" w:cs="Times New Roman"/>
                <w:i w:val="0"/>
                <w:iCs w:val="0"/>
                <w:color w:val="C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89559.67</w:t>
            </w:r>
          </w:p>
        </w:tc>
      </w:tr>
      <w:tr w14:paraId="1202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3" w:type="dxa"/>
            <w:vAlign w:val="center"/>
          </w:tcPr>
          <w:p w14:paraId="346EB97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肉牛年存栏</w:t>
            </w:r>
          </w:p>
        </w:tc>
        <w:tc>
          <w:tcPr>
            <w:tcW w:w="1897" w:type="dxa"/>
            <w:vAlign w:val="center"/>
          </w:tcPr>
          <w:p w14:paraId="1109138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3636</w:t>
            </w:r>
          </w:p>
        </w:tc>
        <w:tc>
          <w:tcPr>
            <w:tcW w:w="2370" w:type="dxa"/>
            <w:vAlign w:val="center"/>
          </w:tcPr>
          <w:p w14:paraId="2FF42C0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5</w:t>
            </w:r>
          </w:p>
        </w:tc>
        <w:tc>
          <w:tcPr>
            <w:tcW w:w="1295" w:type="dxa"/>
            <w:vAlign w:val="center"/>
          </w:tcPr>
          <w:p w14:paraId="62E4B725">
            <w:pPr>
              <w:keepNext w:val="0"/>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C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18180</w:t>
            </w:r>
          </w:p>
        </w:tc>
        <w:tc>
          <w:tcPr>
            <w:tcW w:w="2006" w:type="dxa"/>
            <w:vAlign w:val="center"/>
          </w:tcPr>
          <w:p w14:paraId="3EEEA78E">
            <w:pPr>
              <w:keepNext w:val="0"/>
              <w:keepLines w:val="0"/>
              <w:widowControl/>
              <w:suppressLineNumbers w:val="0"/>
              <w:snapToGrid w:val="0"/>
              <w:spacing w:line="240" w:lineRule="auto"/>
              <w:ind w:left="0" w:leftChars="0" w:right="0" w:rightChars="0" w:firstLine="0" w:firstLineChars="0"/>
              <w:jc w:val="right"/>
              <w:textAlignment w:val="center"/>
              <w:rPr>
                <w:rFonts w:hint="default" w:ascii="Times New Roman" w:hAnsi="Times New Roman" w:eastAsia="仿宋" w:cs="Times New Roman"/>
                <w:i w:val="0"/>
                <w:iCs w:val="0"/>
                <w:color w:val="C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6060.00</w:t>
            </w:r>
          </w:p>
        </w:tc>
      </w:tr>
      <w:tr w14:paraId="553E7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3" w:type="dxa"/>
            <w:vAlign w:val="center"/>
          </w:tcPr>
          <w:p w14:paraId="72A6FD9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羊年存栏</w:t>
            </w:r>
          </w:p>
        </w:tc>
        <w:tc>
          <w:tcPr>
            <w:tcW w:w="1897" w:type="dxa"/>
            <w:vAlign w:val="center"/>
          </w:tcPr>
          <w:p w14:paraId="705CA80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1870</w:t>
            </w:r>
          </w:p>
        </w:tc>
        <w:tc>
          <w:tcPr>
            <w:tcW w:w="2370" w:type="dxa"/>
            <w:vAlign w:val="center"/>
          </w:tcPr>
          <w:p w14:paraId="008585B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1/3</w:t>
            </w:r>
          </w:p>
        </w:tc>
        <w:tc>
          <w:tcPr>
            <w:tcW w:w="1295" w:type="dxa"/>
            <w:vAlign w:val="center"/>
          </w:tcPr>
          <w:p w14:paraId="77AC89D7">
            <w:pPr>
              <w:keepNext w:val="0"/>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C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623</w:t>
            </w:r>
          </w:p>
        </w:tc>
        <w:tc>
          <w:tcPr>
            <w:tcW w:w="2006" w:type="dxa"/>
            <w:vAlign w:val="center"/>
          </w:tcPr>
          <w:p w14:paraId="692D5840">
            <w:pPr>
              <w:keepNext w:val="0"/>
              <w:keepLines w:val="0"/>
              <w:widowControl/>
              <w:suppressLineNumbers w:val="0"/>
              <w:snapToGrid w:val="0"/>
              <w:spacing w:line="240" w:lineRule="auto"/>
              <w:ind w:left="0" w:leftChars="0" w:right="0" w:rightChars="0" w:firstLine="0" w:firstLineChars="0"/>
              <w:jc w:val="right"/>
              <w:textAlignment w:val="center"/>
              <w:rPr>
                <w:rFonts w:hint="default" w:ascii="Times New Roman" w:hAnsi="Times New Roman" w:eastAsia="仿宋" w:cs="Times New Roman"/>
                <w:i w:val="0"/>
                <w:iCs w:val="0"/>
                <w:color w:val="C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207.78</w:t>
            </w:r>
          </w:p>
        </w:tc>
      </w:tr>
      <w:tr w14:paraId="27A5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3" w:type="dxa"/>
            <w:vAlign w:val="center"/>
          </w:tcPr>
          <w:p w14:paraId="463B7C3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蛋鸡年存栏</w:t>
            </w:r>
          </w:p>
        </w:tc>
        <w:tc>
          <w:tcPr>
            <w:tcW w:w="1897" w:type="dxa"/>
            <w:vAlign w:val="center"/>
          </w:tcPr>
          <w:p w14:paraId="42F8FE8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7063064</w:t>
            </w:r>
          </w:p>
        </w:tc>
        <w:tc>
          <w:tcPr>
            <w:tcW w:w="2370" w:type="dxa"/>
            <w:vAlign w:val="center"/>
          </w:tcPr>
          <w:p w14:paraId="2DA381C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1/30</w:t>
            </w:r>
          </w:p>
        </w:tc>
        <w:tc>
          <w:tcPr>
            <w:tcW w:w="1295" w:type="dxa"/>
            <w:vAlign w:val="center"/>
          </w:tcPr>
          <w:p w14:paraId="65DA48F3">
            <w:pPr>
              <w:keepNext w:val="0"/>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C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235435</w:t>
            </w:r>
          </w:p>
        </w:tc>
        <w:tc>
          <w:tcPr>
            <w:tcW w:w="2006" w:type="dxa"/>
            <w:vAlign w:val="center"/>
          </w:tcPr>
          <w:p w14:paraId="3374A784">
            <w:pPr>
              <w:keepNext w:val="0"/>
              <w:keepLines w:val="0"/>
              <w:widowControl/>
              <w:suppressLineNumbers w:val="0"/>
              <w:snapToGrid w:val="0"/>
              <w:spacing w:line="240" w:lineRule="auto"/>
              <w:ind w:left="0" w:leftChars="0" w:right="0" w:rightChars="0" w:firstLine="0" w:firstLineChars="0"/>
              <w:jc w:val="right"/>
              <w:textAlignment w:val="center"/>
              <w:rPr>
                <w:rFonts w:hint="default" w:ascii="Times New Roman" w:hAnsi="Times New Roman" w:eastAsia="仿宋" w:cs="Times New Roman"/>
                <w:i w:val="0"/>
                <w:iCs w:val="0"/>
                <w:color w:val="C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78478.49</w:t>
            </w:r>
          </w:p>
        </w:tc>
      </w:tr>
      <w:tr w14:paraId="4B74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3" w:type="dxa"/>
            <w:vAlign w:val="center"/>
          </w:tcPr>
          <w:p w14:paraId="27BB67D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肉鸡年出栏</w:t>
            </w:r>
          </w:p>
        </w:tc>
        <w:tc>
          <w:tcPr>
            <w:tcW w:w="1897" w:type="dxa"/>
            <w:vAlign w:val="center"/>
          </w:tcPr>
          <w:p w14:paraId="026399D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276837</w:t>
            </w:r>
          </w:p>
        </w:tc>
        <w:tc>
          <w:tcPr>
            <w:tcW w:w="2370" w:type="dxa"/>
            <w:vAlign w:val="center"/>
          </w:tcPr>
          <w:p w14:paraId="1FA07C4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1/60</w:t>
            </w:r>
          </w:p>
        </w:tc>
        <w:tc>
          <w:tcPr>
            <w:tcW w:w="1295" w:type="dxa"/>
            <w:vAlign w:val="center"/>
          </w:tcPr>
          <w:p w14:paraId="0CFDA691">
            <w:pPr>
              <w:keepNext w:val="0"/>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C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4614</w:t>
            </w:r>
          </w:p>
        </w:tc>
        <w:tc>
          <w:tcPr>
            <w:tcW w:w="2006" w:type="dxa"/>
            <w:vAlign w:val="center"/>
          </w:tcPr>
          <w:p w14:paraId="2F8862AF">
            <w:pPr>
              <w:keepNext w:val="0"/>
              <w:keepLines w:val="0"/>
              <w:widowControl/>
              <w:suppressLineNumbers w:val="0"/>
              <w:snapToGrid w:val="0"/>
              <w:spacing w:line="240" w:lineRule="auto"/>
              <w:ind w:left="0" w:leftChars="0" w:right="0" w:rightChars="0" w:firstLine="0" w:firstLineChars="0"/>
              <w:jc w:val="right"/>
              <w:textAlignment w:val="center"/>
              <w:rPr>
                <w:rFonts w:hint="default" w:ascii="Times New Roman" w:hAnsi="Times New Roman" w:eastAsia="仿宋" w:cs="Times New Roman"/>
                <w:i w:val="0"/>
                <w:iCs w:val="0"/>
                <w:color w:val="C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1537.98</w:t>
            </w:r>
          </w:p>
        </w:tc>
      </w:tr>
      <w:tr w14:paraId="1E4A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3" w:type="dxa"/>
            <w:vAlign w:val="center"/>
          </w:tcPr>
          <w:p w14:paraId="5D4DBAD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肉鸭年出栏</w:t>
            </w:r>
          </w:p>
        </w:tc>
        <w:tc>
          <w:tcPr>
            <w:tcW w:w="1897" w:type="dxa"/>
            <w:vAlign w:val="center"/>
          </w:tcPr>
          <w:p w14:paraId="230AC6F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1803742</w:t>
            </w:r>
          </w:p>
        </w:tc>
        <w:tc>
          <w:tcPr>
            <w:tcW w:w="2370" w:type="dxa"/>
            <w:vAlign w:val="center"/>
          </w:tcPr>
          <w:p w14:paraId="28BF197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1/60</w:t>
            </w:r>
          </w:p>
        </w:tc>
        <w:tc>
          <w:tcPr>
            <w:tcW w:w="1295" w:type="dxa"/>
            <w:vAlign w:val="center"/>
          </w:tcPr>
          <w:p w14:paraId="4C280378">
            <w:pPr>
              <w:keepNext w:val="0"/>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C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30062</w:t>
            </w:r>
          </w:p>
        </w:tc>
        <w:tc>
          <w:tcPr>
            <w:tcW w:w="2006" w:type="dxa"/>
            <w:vAlign w:val="center"/>
          </w:tcPr>
          <w:p w14:paraId="42795E6D">
            <w:pPr>
              <w:keepNext w:val="0"/>
              <w:keepLines w:val="0"/>
              <w:widowControl/>
              <w:suppressLineNumbers w:val="0"/>
              <w:snapToGrid w:val="0"/>
              <w:spacing w:line="240" w:lineRule="auto"/>
              <w:ind w:left="0" w:leftChars="0" w:right="0" w:rightChars="0" w:firstLine="0" w:firstLineChars="0"/>
              <w:jc w:val="right"/>
              <w:textAlignment w:val="center"/>
              <w:rPr>
                <w:rFonts w:hint="default" w:ascii="Times New Roman" w:hAnsi="Times New Roman" w:eastAsia="仿宋" w:cs="Times New Roman"/>
                <w:i w:val="0"/>
                <w:iCs w:val="0"/>
                <w:color w:val="C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10020.79</w:t>
            </w:r>
          </w:p>
        </w:tc>
      </w:tr>
      <w:tr w14:paraId="2FC4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3" w:type="dxa"/>
            <w:vAlign w:val="center"/>
          </w:tcPr>
          <w:p w14:paraId="0D75696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兔年存栏</w:t>
            </w:r>
          </w:p>
        </w:tc>
        <w:tc>
          <w:tcPr>
            <w:tcW w:w="1897" w:type="dxa"/>
            <w:vAlign w:val="center"/>
          </w:tcPr>
          <w:p w14:paraId="7810A19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110402</w:t>
            </w:r>
          </w:p>
        </w:tc>
        <w:tc>
          <w:tcPr>
            <w:tcW w:w="2370" w:type="dxa"/>
            <w:vAlign w:val="center"/>
          </w:tcPr>
          <w:p w14:paraId="16D3EBD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1/30</w:t>
            </w:r>
          </w:p>
        </w:tc>
        <w:tc>
          <w:tcPr>
            <w:tcW w:w="1295" w:type="dxa"/>
            <w:vAlign w:val="center"/>
          </w:tcPr>
          <w:p w14:paraId="29437BBE">
            <w:pPr>
              <w:keepNext w:val="0"/>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C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3680</w:t>
            </w:r>
          </w:p>
        </w:tc>
        <w:tc>
          <w:tcPr>
            <w:tcW w:w="2006" w:type="dxa"/>
            <w:vAlign w:val="center"/>
          </w:tcPr>
          <w:p w14:paraId="2E09F1E0">
            <w:pPr>
              <w:keepNext w:val="0"/>
              <w:keepLines w:val="0"/>
              <w:widowControl/>
              <w:suppressLineNumbers w:val="0"/>
              <w:snapToGrid w:val="0"/>
              <w:spacing w:line="240" w:lineRule="auto"/>
              <w:ind w:left="0" w:leftChars="0" w:right="0" w:rightChars="0" w:firstLine="0" w:firstLineChars="0"/>
              <w:jc w:val="right"/>
              <w:textAlignment w:val="center"/>
              <w:rPr>
                <w:rFonts w:hint="default" w:ascii="Times New Roman" w:hAnsi="Times New Roman" w:eastAsia="仿宋" w:cs="Times New Roman"/>
                <w:i w:val="0"/>
                <w:iCs w:val="0"/>
                <w:color w:val="C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1226.69</w:t>
            </w:r>
          </w:p>
        </w:tc>
      </w:tr>
      <w:tr w14:paraId="0E86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3" w:type="dxa"/>
            <w:vAlign w:val="center"/>
          </w:tcPr>
          <w:p w14:paraId="670C5E3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b/>
                <w:i w:val="0"/>
                <w:iCs w:val="0"/>
                <w:color w:val="000000"/>
                <w:kern w:val="0"/>
                <w:sz w:val="21"/>
                <w:szCs w:val="21"/>
                <w:highlight w:val="none"/>
                <w:u w:val="none"/>
                <w:lang w:val="en-US" w:eastAsia="zh-CN" w:bidi="ar"/>
              </w:rPr>
            </w:pPr>
            <w:r>
              <w:rPr>
                <w:rFonts w:hint="default" w:ascii="Times New Roman" w:hAnsi="Times New Roman" w:eastAsia="仿宋" w:cs="Times New Roman"/>
                <w:b/>
                <w:i w:val="0"/>
                <w:iCs w:val="0"/>
                <w:color w:val="000000"/>
                <w:kern w:val="0"/>
                <w:sz w:val="21"/>
                <w:szCs w:val="21"/>
                <w:highlight w:val="none"/>
                <w:u w:val="none"/>
                <w:lang w:val="en-US" w:eastAsia="zh-CN" w:bidi="ar"/>
              </w:rPr>
              <w:t>合计</w:t>
            </w:r>
          </w:p>
        </w:tc>
        <w:tc>
          <w:tcPr>
            <w:tcW w:w="1897" w:type="dxa"/>
            <w:vAlign w:val="center"/>
          </w:tcPr>
          <w:p w14:paraId="486A91F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b/>
                <w:i w:val="0"/>
                <w:iCs w:val="0"/>
                <w:color w:val="C00000"/>
                <w:kern w:val="0"/>
                <w:sz w:val="21"/>
                <w:szCs w:val="21"/>
                <w:highlight w:val="none"/>
                <w:u w:val="none"/>
                <w:lang w:val="en-US" w:eastAsia="zh-CN" w:bidi="ar"/>
              </w:rPr>
            </w:pPr>
          </w:p>
        </w:tc>
        <w:tc>
          <w:tcPr>
            <w:tcW w:w="2370" w:type="dxa"/>
            <w:vAlign w:val="center"/>
          </w:tcPr>
          <w:p w14:paraId="40CBECA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b/>
                <w:i w:val="0"/>
                <w:iCs w:val="0"/>
                <w:color w:val="C00000"/>
                <w:kern w:val="0"/>
                <w:sz w:val="21"/>
                <w:szCs w:val="21"/>
                <w:highlight w:val="none"/>
                <w:u w:val="none"/>
                <w:lang w:val="en-US" w:eastAsia="zh-CN" w:bidi="ar"/>
              </w:rPr>
            </w:pPr>
          </w:p>
        </w:tc>
        <w:tc>
          <w:tcPr>
            <w:tcW w:w="1295" w:type="dxa"/>
            <w:vAlign w:val="center"/>
          </w:tcPr>
          <w:p w14:paraId="6BFBD8CA">
            <w:pPr>
              <w:keepNext w:val="0"/>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b/>
                <w:i w:val="0"/>
                <w:iCs w:val="0"/>
                <w:color w:val="C00000"/>
                <w:kern w:val="0"/>
                <w:sz w:val="21"/>
                <w:szCs w:val="21"/>
                <w:highlight w:val="none"/>
                <w:u w:val="none"/>
                <w:lang w:val="en-US" w:eastAsia="zh-CN" w:bidi="ar"/>
              </w:rPr>
            </w:pPr>
            <w:r>
              <w:rPr>
                <w:rFonts w:hint="default" w:ascii="Times New Roman" w:hAnsi="Times New Roman" w:eastAsia="仿宋" w:cs="Times New Roman"/>
                <w:b/>
                <w:i w:val="0"/>
                <w:iCs w:val="0"/>
                <w:color w:val="000000"/>
                <w:kern w:val="0"/>
                <w:sz w:val="21"/>
                <w:szCs w:val="21"/>
                <w:u w:val="none"/>
                <w:lang w:val="en-US" w:eastAsia="zh-CN" w:bidi="ar"/>
              </w:rPr>
              <w:t>561274</w:t>
            </w:r>
          </w:p>
        </w:tc>
        <w:tc>
          <w:tcPr>
            <w:tcW w:w="2006" w:type="dxa"/>
            <w:vAlign w:val="center"/>
          </w:tcPr>
          <w:p w14:paraId="4B79D5A8">
            <w:pPr>
              <w:keepNext w:val="0"/>
              <w:keepLines w:val="0"/>
              <w:widowControl/>
              <w:suppressLineNumbers w:val="0"/>
              <w:snapToGrid w:val="0"/>
              <w:spacing w:line="240" w:lineRule="auto"/>
              <w:ind w:left="0" w:leftChars="0" w:right="0" w:rightChars="0" w:firstLine="0" w:firstLineChars="0"/>
              <w:jc w:val="right"/>
              <w:textAlignment w:val="center"/>
              <w:rPr>
                <w:rFonts w:hint="default" w:ascii="Times New Roman" w:hAnsi="Times New Roman" w:eastAsia="仿宋" w:cs="Times New Roman"/>
                <w:b/>
                <w:i w:val="0"/>
                <w:iCs w:val="0"/>
                <w:color w:val="C00000"/>
                <w:kern w:val="0"/>
                <w:sz w:val="21"/>
                <w:szCs w:val="21"/>
                <w:highlight w:val="none"/>
                <w:u w:val="none"/>
                <w:lang w:val="en-US" w:eastAsia="zh-CN" w:bidi="ar"/>
              </w:rPr>
            </w:pPr>
            <w:r>
              <w:rPr>
                <w:rFonts w:hint="default" w:ascii="Times New Roman" w:hAnsi="Times New Roman" w:eastAsia="仿宋" w:cs="Times New Roman"/>
                <w:b/>
                <w:i w:val="0"/>
                <w:iCs w:val="0"/>
                <w:color w:val="000000"/>
                <w:kern w:val="0"/>
                <w:sz w:val="21"/>
                <w:szCs w:val="21"/>
                <w:u w:val="none"/>
                <w:lang w:val="en-US" w:eastAsia="zh-CN" w:bidi="ar"/>
              </w:rPr>
              <w:t>187091.39</w:t>
            </w:r>
          </w:p>
        </w:tc>
      </w:tr>
    </w:tbl>
    <w:p w14:paraId="39AC7F2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p>
    <w:tbl>
      <w:tblPr>
        <w:tblStyle w:val="15"/>
        <w:tblW w:w="9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118"/>
        <w:gridCol w:w="945"/>
        <w:gridCol w:w="1064"/>
        <w:gridCol w:w="1073"/>
        <w:gridCol w:w="1227"/>
        <w:gridCol w:w="1091"/>
        <w:gridCol w:w="964"/>
        <w:gridCol w:w="1014"/>
      </w:tblGrid>
      <w:tr w14:paraId="7ADF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9134" w:type="dxa"/>
            <w:gridSpan w:val="9"/>
            <w:vAlign w:val="center"/>
          </w:tcPr>
          <w:p w14:paraId="3C9C964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eastAsia="仿宋" w:cs="Times New Roman"/>
                <w:b/>
                <w:bCs/>
                <w:color w:val="auto"/>
                <w:sz w:val="24"/>
                <w:szCs w:val="24"/>
                <w:highlight w:val="none"/>
                <w:vertAlign w:val="baseline"/>
                <w:lang w:val="en-US" w:eastAsia="zh-CN"/>
              </w:rPr>
              <w:t>表1-</w:t>
            </w:r>
            <w:r>
              <w:rPr>
                <w:rFonts w:hint="default" w:ascii="Times New Roman" w:hAnsi="Times New Roman" w:cs="Times New Roman"/>
                <w:b/>
                <w:bCs/>
                <w:color w:val="auto"/>
                <w:sz w:val="24"/>
                <w:szCs w:val="24"/>
                <w:highlight w:val="none"/>
                <w:vertAlign w:val="baseline"/>
                <w:lang w:val="en-US" w:eastAsia="zh-CN"/>
              </w:rPr>
              <w:t>2</w:t>
            </w:r>
            <w:r>
              <w:rPr>
                <w:rFonts w:hint="default" w:ascii="Times New Roman" w:hAnsi="Times New Roman" w:eastAsia="仿宋" w:cs="Times New Roman"/>
                <w:b/>
                <w:bCs/>
                <w:color w:val="auto"/>
                <w:sz w:val="24"/>
                <w:szCs w:val="24"/>
                <w:highlight w:val="none"/>
                <w:vertAlign w:val="baseline"/>
                <w:lang w:val="en-US" w:eastAsia="zh-CN"/>
              </w:rPr>
              <w:t>夹江县畜禽粪污土地承载力测算表</w:t>
            </w:r>
            <w:r>
              <w:rPr>
                <w:rFonts w:hint="eastAsia" w:ascii="Times New Roman" w:hAnsi="Times New Roman" w:eastAsia="仿宋" w:cs="Times New Roman"/>
                <w:b/>
                <w:bCs/>
                <w:color w:val="auto"/>
                <w:sz w:val="24"/>
                <w:szCs w:val="24"/>
                <w:highlight w:val="none"/>
                <w:vertAlign w:val="baseline"/>
                <w:lang w:val="en-US" w:eastAsia="zh-CN"/>
              </w:rPr>
              <w:t>（单位：亩、头、%）</w:t>
            </w:r>
          </w:p>
        </w:tc>
      </w:tr>
      <w:tr w14:paraId="252D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38" w:type="dxa"/>
            <w:vAlign w:val="center"/>
          </w:tcPr>
          <w:p w14:paraId="4F69CD5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eastAsia" w:ascii="Times New Roman" w:hAnsi="Times New Roman" w:eastAsia="仿宋" w:cs="Times New Roman"/>
                <w:i w:val="0"/>
                <w:iCs w:val="0"/>
                <w:color w:val="000000"/>
                <w:kern w:val="0"/>
                <w:sz w:val="21"/>
                <w:szCs w:val="21"/>
                <w:highlight w:val="none"/>
                <w:u w:val="none"/>
                <w:lang w:val="en-US" w:eastAsia="zh-CN" w:bidi="ar"/>
              </w:rPr>
              <w:t>镇街</w:t>
            </w:r>
          </w:p>
        </w:tc>
        <w:tc>
          <w:tcPr>
            <w:tcW w:w="1118" w:type="dxa"/>
            <w:vAlign w:val="center"/>
          </w:tcPr>
          <w:p w14:paraId="3500D4F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i w:val="0"/>
                <w:iCs w:val="0"/>
                <w:color w:val="000000"/>
                <w:kern w:val="0"/>
                <w:sz w:val="21"/>
                <w:szCs w:val="21"/>
                <w:highlight w:val="none"/>
                <w:u w:val="none"/>
                <w:lang w:val="en-US" w:eastAsia="zh-CN" w:bidi="ar"/>
              </w:rPr>
              <w:t>村</w:t>
            </w:r>
          </w:p>
        </w:tc>
        <w:tc>
          <w:tcPr>
            <w:tcW w:w="945" w:type="dxa"/>
            <w:vAlign w:val="center"/>
          </w:tcPr>
          <w:p w14:paraId="0C7CD2E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耕地</w:t>
            </w:r>
          </w:p>
          <w:p w14:paraId="1A27B70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highlight w:val="none"/>
                <w:u w:val="none"/>
                <w:lang w:val="en-US" w:eastAsia="zh-CN" w:bidi="ar"/>
              </w:rPr>
              <w:t>面积</w:t>
            </w:r>
          </w:p>
        </w:tc>
        <w:tc>
          <w:tcPr>
            <w:tcW w:w="1064" w:type="dxa"/>
            <w:vAlign w:val="center"/>
          </w:tcPr>
          <w:p w14:paraId="5CE64BE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iCs w:val="0"/>
                <w:color w:val="000000"/>
                <w:kern w:val="0"/>
                <w:sz w:val="21"/>
                <w:szCs w:val="21"/>
                <w:highlight w:val="none"/>
                <w:u w:val="none"/>
                <w:lang w:val="en-US" w:eastAsia="zh-CN" w:bidi="ar"/>
              </w:rPr>
              <w:t>适宜承载力猪当量</w:t>
            </w:r>
          </w:p>
        </w:tc>
        <w:tc>
          <w:tcPr>
            <w:tcW w:w="1073" w:type="dxa"/>
            <w:vAlign w:val="center"/>
          </w:tcPr>
          <w:p w14:paraId="071484A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eastAsia" w:ascii="Times New Roman" w:hAnsi="Times New Roman" w:eastAsia="仿宋" w:cs="Times New Roman"/>
                <w:i w:val="0"/>
                <w:iCs w:val="0"/>
                <w:color w:val="000000"/>
                <w:kern w:val="0"/>
                <w:sz w:val="21"/>
                <w:szCs w:val="21"/>
                <w:highlight w:val="none"/>
                <w:u w:val="none"/>
                <w:lang w:val="en-US" w:eastAsia="zh-CN" w:bidi="ar"/>
              </w:rPr>
              <w:t>现状养殖</w:t>
            </w:r>
            <w:r>
              <w:rPr>
                <w:rFonts w:hint="default" w:ascii="Times New Roman" w:hAnsi="Times New Roman" w:eastAsia="仿宋" w:cs="Times New Roman"/>
                <w:i w:val="0"/>
                <w:iCs w:val="0"/>
                <w:color w:val="000000"/>
                <w:kern w:val="0"/>
                <w:sz w:val="21"/>
                <w:szCs w:val="21"/>
                <w:highlight w:val="none"/>
                <w:u w:val="none"/>
                <w:lang w:val="en-US" w:eastAsia="zh-CN" w:bidi="ar"/>
              </w:rPr>
              <w:t>猪当量</w:t>
            </w:r>
          </w:p>
        </w:tc>
        <w:tc>
          <w:tcPr>
            <w:tcW w:w="1227" w:type="dxa"/>
            <w:vAlign w:val="center"/>
          </w:tcPr>
          <w:p w14:paraId="33A49FA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highlight w:val="none"/>
                <w:u w:val="none"/>
                <w:lang w:val="en-US" w:eastAsia="zh-CN" w:bidi="ar"/>
              </w:rPr>
              <w:t>现状养殖占适宜承载力比重</w:t>
            </w:r>
          </w:p>
        </w:tc>
        <w:tc>
          <w:tcPr>
            <w:tcW w:w="1091" w:type="dxa"/>
            <w:vAlign w:val="center"/>
          </w:tcPr>
          <w:p w14:paraId="791B596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i w:val="0"/>
                <w:iCs w:val="0"/>
                <w:color w:val="000000"/>
                <w:kern w:val="0"/>
                <w:sz w:val="21"/>
                <w:szCs w:val="21"/>
                <w:highlight w:val="none"/>
                <w:u w:val="none"/>
                <w:lang w:val="en-US" w:eastAsia="zh-CN" w:bidi="ar"/>
              </w:rPr>
              <w:t>土地承载力评价</w:t>
            </w:r>
          </w:p>
        </w:tc>
        <w:tc>
          <w:tcPr>
            <w:tcW w:w="964" w:type="dxa"/>
            <w:vAlign w:val="center"/>
          </w:tcPr>
          <w:p w14:paraId="454518F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是否涉及禁限养区</w:t>
            </w:r>
          </w:p>
        </w:tc>
        <w:tc>
          <w:tcPr>
            <w:tcW w:w="1014" w:type="dxa"/>
            <w:vAlign w:val="center"/>
          </w:tcPr>
          <w:p w14:paraId="2B0D345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综合</w:t>
            </w:r>
          </w:p>
          <w:p w14:paraId="6F3D1A8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评价</w:t>
            </w:r>
          </w:p>
        </w:tc>
      </w:tr>
      <w:tr w14:paraId="4C6B8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restart"/>
            <w:vAlign w:val="center"/>
          </w:tcPr>
          <w:p w14:paraId="2171BFE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r>
              <w:rPr>
                <w:rFonts w:hint="default" w:ascii="Times New Roman" w:hAnsi="Times New Roman" w:eastAsia="仿宋" w:cs="Times New Roman"/>
                <w:i w:val="0"/>
                <w:iCs w:val="0"/>
                <w:color w:val="000000"/>
                <w:kern w:val="0"/>
                <w:sz w:val="21"/>
                <w:szCs w:val="21"/>
                <w:highlight w:val="none"/>
                <w:u w:val="none"/>
                <w:lang w:val="en-US" w:eastAsia="zh-CN" w:bidi="ar"/>
              </w:rPr>
              <w:t>漹城街道</w:t>
            </w:r>
          </w:p>
        </w:tc>
        <w:tc>
          <w:tcPr>
            <w:tcW w:w="1118" w:type="dxa"/>
            <w:vAlign w:val="center"/>
          </w:tcPr>
          <w:p w14:paraId="4AF48B6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城东社区</w:t>
            </w:r>
          </w:p>
        </w:tc>
        <w:tc>
          <w:tcPr>
            <w:tcW w:w="945" w:type="dxa"/>
            <w:vAlign w:val="center"/>
          </w:tcPr>
          <w:p w14:paraId="456D0E1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1790.47</w:t>
            </w:r>
          </w:p>
        </w:tc>
        <w:tc>
          <w:tcPr>
            <w:tcW w:w="1064" w:type="dxa"/>
            <w:vAlign w:val="center"/>
          </w:tcPr>
          <w:p w14:paraId="41661B3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5443</w:t>
            </w:r>
          </w:p>
        </w:tc>
        <w:tc>
          <w:tcPr>
            <w:tcW w:w="1073" w:type="dxa"/>
            <w:vAlign w:val="center"/>
          </w:tcPr>
          <w:p w14:paraId="7866814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1622</w:t>
            </w:r>
          </w:p>
        </w:tc>
        <w:tc>
          <w:tcPr>
            <w:tcW w:w="1227" w:type="dxa"/>
            <w:vAlign w:val="center"/>
          </w:tcPr>
          <w:p w14:paraId="3CC6660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29.79%</w:t>
            </w:r>
          </w:p>
        </w:tc>
        <w:tc>
          <w:tcPr>
            <w:tcW w:w="1091" w:type="dxa"/>
            <w:vAlign w:val="center"/>
          </w:tcPr>
          <w:p w14:paraId="6F8547E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20E7793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是（城镇开发边界）</w:t>
            </w:r>
          </w:p>
        </w:tc>
        <w:tc>
          <w:tcPr>
            <w:tcW w:w="1014" w:type="dxa"/>
            <w:vAlign w:val="center"/>
          </w:tcPr>
          <w:p w14:paraId="7A635E9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518E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1835FC30">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5A04864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工农社区</w:t>
            </w:r>
          </w:p>
        </w:tc>
        <w:tc>
          <w:tcPr>
            <w:tcW w:w="945" w:type="dxa"/>
            <w:vAlign w:val="center"/>
          </w:tcPr>
          <w:p w14:paraId="404CB90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137.84</w:t>
            </w:r>
          </w:p>
        </w:tc>
        <w:tc>
          <w:tcPr>
            <w:tcW w:w="1064" w:type="dxa"/>
            <w:vAlign w:val="center"/>
          </w:tcPr>
          <w:p w14:paraId="2697112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419</w:t>
            </w:r>
          </w:p>
        </w:tc>
        <w:tc>
          <w:tcPr>
            <w:tcW w:w="1073" w:type="dxa"/>
            <w:vAlign w:val="center"/>
          </w:tcPr>
          <w:p w14:paraId="6E455EF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0</w:t>
            </w:r>
          </w:p>
        </w:tc>
        <w:tc>
          <w:tcPr>
            <w:tcW w:w="1227" w:type="dxa"/>
            <w:vAlign w:val="center"/>
          </w:tcPr>
          <w:p w14:paraId="4989BD7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0.08%</w:t>
            </w:r>
          </w:p>
        </w:tc>
        <w:tc>
          <w:tcPr>
            <w:tcW w:w="1091" w:type="dxa"/>
            <w:vAlign w:val="center"/>
          </w:tcPr>
          <w:p w14:paraId="7076EE9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175E25B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是（城镇开发边界）</w:t>
            </w:r>
          </w:p>
        </w:tc>
        <w:tc>
          <w:tcPr>
            <w:tcW w:w="1014" w:type="dxa"/>
            <w:vAlign w:val="center"/>
          </w:tcPr>
          <w:p w14:paraId="1591AA4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5B17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2E44E8B4">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7BFC061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和平桥社区</w:t>
            </w:r>
          </w:p>
        </w:tc>
        <w:tc>
          <w:tcPr>
            <w:tcW w:w="945" w:type="dxa"/>
            <w:vAlign w:val="center"/>
          </w:tcPr>
          <w:p w14:paraId="31375A6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341.96</w:t>
            </w:r>
          </w:p>
        </w:tc>
        <w:tc>
          <w:tcPr>
            <w:tcW w:w="1064" w:type="dxa"/>
            <w:vAlign w:val="center"/>
          </w:tcPr>
          <w:p w14:paraId="7E22D1F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1040</w:t>
            </w:r>
          </w:p>
        </w:tc>
        <w:tc>
          <w:tcPr>
            <w:tcW w:w="1073" w:type="dxa"/>
            <w:vAlign w:val="center"/>
          </w:tcPr>
          <w:p w14:paraId="67A8C30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w:t>
            </w:r>
          </w:p>
        </w:tc>
        <w:tc>
          <w:tcPr>
            <w:tcW w:w="1227" w:type="dxa"/>
            <w:vAlign w:val="center"/>
          </w:tcPr>
          <w:p w14:paraId="1CCF404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0.13%</w:t>
            </w:r>
          </w:p>
        </w:tc>
        <w:tc>
          <w:tcPr>
            <w:tcW w:w="1091" w:type="dxa"/>
            <w:vAlign w:val="center"/>
          </w:tcPr>
          <w:p w14:paraId="70D690B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05A69C2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是（城镇开发边界）</w:t>
            </w:r>
          </w:p>
        </w:tc>
        <w:tc>
          <w:tcPr>
            <w:tcW w:w="1014" w:type="dxa"/>
            <w:vAlign w:val="center"/>
          </w:tcPr>
          <w:p w14:paraId="51CA74D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4FC17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04DCC054">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1E11091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牌坊社区</w:t>
            </w:r>
          </w:p>
        </w:tc>
        <w:tc>
          <w:tcPr>
            <w:tcW w:w="945" w:type="dxa"/>
            <w:vAlign w:val="center"/>
          </w:tcPr>
          <w:p w14:paraId="0294BE2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346.89</w:t>
            </w:r>
          </w:p>
        </w:tc>
        <w:tc>
          <w:tcPr>
            <w:tcW w:w="1064" w:type="dxa"/>
            <w:vAlign w:val="center"/>
          </w:tcPr>
          <w:p w14:paraId="79B8A6B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1055</w:t>
            </w:r>
          </w:p>
        </w:tc>
        <w:tc>
          <w:tcPr>
            <w:tcW w:w="1073" w:type="dxa"/>
            <w:vAlign w:val="center"/>
          </w:tcPr>
          <w:p w14:paraId="4CF06AB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75</w:t>
            </w:r>
          </w:p>
        </w:tc>
        <w:tc>
          <w:tcPr>
            <w:tcW w:w="1227" w:type="dxa"/>
            <w:vAlign w:val="center"/>
          </w:tcPr>
          <w:p w14:paraId="4A813CF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7.14%</w:t>
            </w:r>
          </w:p>
        </w:tc>
        <w:tc>
          <w:tcPr>
            <w:tcW w:w="1091" w:type="dxa"/>
            <w:vAlign w:val="center"/>
          </w:tcPr>
          <w:p w14:paraId="673AD44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09F3AAD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是（城镇开发边界）</w:t>
            </w:r>
          </w:p>
        </w:tc>
        <w:tc>
          <w:tcPr>
            <w:tcW w:w="1014" w:type="dxa"/>
            <w:vAlign w:val="center"/>
          </w:tcPr>
          <w:p w14:paraId="23C4FF7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0067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58022DE8">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0558655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新华社区</w:t>
            </w:r>
          </w:p>
        </w:tc>
        <w:tc>
          <w:tcPr>
            <w:tcW w:w="945" w:type="dxa"/>
            <w:vAlign w:val="center"/>
          </w:tcPr>
          <w:p w14:paraId="23A103F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467.35</w:t>
            </w:r>
          </w:p>
        </w:tc>
        <w:tc>
          <w:tcPr>
            <w:tcW w:w="1064" w:type="dxa"/>
            <w:vAlign w:val="center"/>
          </w:tcPr>
          <w:p w14:paraId="1366B78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1421</w:t>
            </w:r>
          </w:p>
        </w:tc>
        <w:tc>
          <w:tcPr>
            <w:tcW w:w="1073" w:type="dxa"/>
            <w:vAlign w:val="center"/>
          </w:tcPr>
          <w:p w14:paraId="43E11A1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64</w:t>
            </w:r>
          </w:p>
        </w:tc>
        <w:tc>
          <w:tcPr>
            <w:tcW w:w="1227" w:type="dxa"/>
            <w:vAlign w:val="center"/>
          </w:tcPr>
          <w:p w14:paraId="17A9724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4.49%</w:t>
            </w:r>
          </w:p>
        </w:tc>
        <w:tc>
          <w:tcPr>
            <w:tcW w:w="1091" w:type="dxa"/>
            <w:vAlign w:val="center"/>
          </w:tcPr>
          <w:p w14:paraId="18FE785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6F1F11C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是（城镇开发边界）</w:t>
            </w:r>
          </w:p>
        </w:tc>
        <w:tc>
          <w:tcPr>
            <w:tcW w:w="1014" w:type="dxa"/>
            <w:vAlign w:val="center"/>
          </w:tcPr>
          <w:p w14:paraId="5E28483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613E4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1F7EC9CA">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51764E4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云吟村</w:t>
            </w:r>
          </w:p>
        </w:tc>
        <w:tc>
          <w:tcPr>
            <w:tcW w:w="945" w:type="dxa"/>
            <w:vAlign w:val="center"/>
          </w:tcPr>
          <w:p w14:paraId="1C72991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5528.31</w:t>
            </w:r>
          </w:p>
        </w:tc>
        <w:tc>
          <w:tcPr>
            <w:tcW w:w="1064" w:type="dxa"/>
            <w:vAlign w:val="center"/>
          </w:tcPr>
          <w:p w14:paraId="73E05D6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16806</w:t>
            </w:r>
          </w:p>
        </w:tc>
        <w:tc>
          <w:tcPr>
            <w:tcW w:w="1073" w:type="dxa"/>
            <w:vAlign w:val="center"/>
          </w:tcPr>
          <w:p w14:paraId="5BED019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1647</w:t>
            </w:r>
          </w:p>
        </w:tc>
        <w:tc>
          <w:tcPr>
            <w:tcW w:w="1227" w:type="dxa"/>
            <w:vAlign w:val="center"/>
          </w:tcPr>
          <w:p w14:paraId="583C804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9.80%</w:t>
            </w:r>
          </w:p>
        </w:tc>
        <w:tc>
          <w:tcPr>
            <w:tcW w:w="1091" w:type="dxa"/>
            <w:vAlign w:val="center"/>
          </w:tcPr>
          <w:p w14:paraId="13EDE63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414E424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49873A8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64B9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restart"/>
            <w:vAlign w:val="center"/>
          </w:tcPr>
          <w:p w14:paraId="194D7EA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r>
              <w:rPr>
                <w:rFonts w:hint="default" w:ascii="Times New Roman" w:hAnsi="Times New Roman" w:eastAsia="仿宋" w:cs="Times New Roman"/>
                <w:i w:val="0"/>
                <w:iCs w:val="0"/>
                <w:color w:val="000000"/>
                <w:kern w:val="0"/>
                <w:sz w:val="21"/>
                <w:szCs w:val="21"/>
                <w:highlight w:val="none"/>
                <w:u w:val="none"/>
                <w:lang w:val="en-US" w:eastAsia="zh-CN" w:bidi="ar"/>
              </w:rPr>
              <w:t>青衣街道</w:t>
            </w:r>
          </w:p>
        </w:tc>
        <w:tc>
          <w:tcPr>
            <w:tcW w:w="1118" w:type="dxa"/>
            <w:vAlign w:val="center"/>
          </w:tcPr>
          <w:p w14:paraId="7FBA0B4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依凤村</w:t>
            </w:r>
          </w:p>
        </w:tc>
        <w:tc>
          <w:tcPr>
            <w:tcW w:w="945" w:type="dxa"/>
            <w:vAlign w:val="center"/>
          </w:tcPr>
          <w:p w14:paraId="5EB479D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336.78</w:t>
            </w:r>
          </w:p>
        </w:tc>
        <w:tc>
          <w:tcPr>
            <w:tcW w:w="1064" w:type="dxa"/>
            <w:vAlign w:val="center"/>
          </w:tcPr>
          <w:p w14:paraId="683EB1C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1024</w:t>
            </w:r>
          </w:p>
        </w:tc>
        <w:tc>
          <w:tcPr>
            <w:tcW w:w="1073" w:type="dxa"/>
            <w:vAlign w:val="center"/>
          </w:tcPr>
          <w:p w14:paraId="2276C40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490</w:t>
            </w:r>
          </w:p>
        </w:tc>
        <w:tc>
          <w:tcPr>
            <w:tcW w:w="1227" w:type="dxa"/>
            <w:vAlign w:val="center"/>
          </w:tcPr>
          <w:p w14:paraId="637B5EA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47.89%</w:t>
            </w:r>
          </w:p>
        </w:tc>
        <w:tc>
          <w:tcPr>
            <w:tcW w:w="1091" w:type="dxa"/>
            <w:vAlign w:val="center"/>
          </w:tcPr>
          <w:p w14:paraId="6D21758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16BA210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07F2D64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7066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vMerge w:val="continue"/>
            <w:vAlign w:val="center"/>
          </w:tcPr>
          <w:p w14:paraId="07CBFE01">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130CFDA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千佛社区</w:t>
            </w:r>
          </w:p>
        </w:tc>
        <w:tc>
          <w:tcPr>
            <w:tcW w:w="945" w:type="dxa"/>
            <w:vAlign w:val="center"/>
          </w:tcPr>
          <w:p w14:paraId="4817AA4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1690.63</w:t>
            </w:r>
          </w:p>
        </w:tc>
        <w:tc>
          <w:tcPr>
            <w:tcW w:w="1064" w:type="dxa"/>
            <w:vAlign w:val="center"/>
          </w:tcPr>
          <w:p w14:paraId="3BD6861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5140</w:t>
            </w:r>
          </w:p>
        </w:tc>
        <w:tc>
          <w:tcPr>
            <w:tcW w:w="1073" w:type="dxa"/>
            <w:vAlign w:val="center"/>
          </w:tcPr>
          <w:p w14:paraId="1A7A12C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2222</w:t>
            </w:r>
          </w:p>
        </w:tc>
        <w:tc>
          <w:tcPr>
            <w:tcW w:w="1227" w:type="dxa"/>
            <w:vAlign w:val="center"/>
          </w:tcPr>
          <w:p w14:paraId="2842623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43.23%</w:t>
            </w:r>
          </w:p>
        </w:tc>
        <w:tc>
          <w:tcPr>
            <w:tcW w:w="1091" w:type="dxa"/>
            <w:vAlign w:val="center"/>
          </w:tcPr>
          <w:p w14:paraId="3BE1B11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0771766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6E355B1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17647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7F2AF1FC">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5CFCF6E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迎春社区</w:t>
            </w:r>
          </w:p>
        </w:tc>
        <w:tc>
          <w:tcPr>
            <w:tcW w:w="945" w:type="dxa"/>
            <w:vAlign w:val="center"/>
          </w:tcPr>
          <w:p w14:paraId="7F6C6C2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4.05</w:t>
            </w:r>
          </w:p>
        </w:tc>
        <w:tc>
          <w:tcPr>
            <w:tcW w:w="1064" w:type="dxa"/>
            <w:vAlign w:val="center"/>
          </w:tcPr>
          <w:p w14:paraId="56AA6C3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12</w:t>
            </w:r>
          </w:p>
        </w:tc>
        <w:tc>
          <w:tcPr>
            <w:tcW w:w="1073" w:type="dxa"/>
            <w:vAlign w:val="center"/>
          </w:tcPr>
          <w:p w14:paraId="2B02D7F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0</w:t>
            </w:r>
          </w:p>
        </w:tc>
        <w:tc>
          <w:tcPr>
            <w:tcW w:w="1227" w:type="dxa"/>
            <w:vAlign w:val="center"/>
          </w:tcPr>
          <w:p w14:paraId="09F1FF0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0.00%</w:t>
            </w:r>
          </w:p>
        </w:tc>
        <w:tc>
          <w:tcPr>
            <w:tcW w:w="1091" w:type="dxa"/>
            <w:vAlign w:val="center"/>
          </w:tcPr>
          <w:p w14:paraId="35ACBEF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2E10613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1F6514B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6E208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71FA8376">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4B4A6AE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滨江社区</w:t>
            </w:r>
          </w:p>
        </w:tc>
        <w:tc>
          <w:tcPr>
            <w:tcW w:w="945" w:type="dxa"/>
            <w:vAlign w:val="center"/>
          </w:tcPr>
          <w:p w14:paraId="37B04A8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571.14</w:t>
            </w:r>
          </w:p>
        </w:tc>
        <w:tc>
          <w:tcPr>
            <w:tcW w:w="1064" w:type="dxa"/>
            <w:vAlign w:val="center"/>
          </w:tcPr>
          <w:p w14:paraId="69E4778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1736</w:t>
            </w:r>
          </w:p>
        </w:tc>
        <w:tc>
          <w:tcPr>
            <w:tcW w:w="1073" w:type="dxa"/>
            <w:vAlign w:val="center"/>
          </w:tcPr>
          <w:p w14:paraId="7356161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110</w:t>
            </w:r>
          </w:p>
        </w:tc>
        <w:tc>
          <w:tcPr>
            <w:tcW w:w="1227" w:type="dxa"/>
            <w:vAlign w:val="center"/>
          </w:tcPr>
          <w:p w14:paraId="60944CD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6.34%</w:t>
            </w:r>
          </w:p>
        </w:tc>
        <w:tc>
          <w:tcPr>
            <w:tcW w:w="1091" w:type="dxa"/>
            <w:vAlign w:val="center"/>
          </w:tcPr>
          <w:p w14:paraId="5B98088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22E4C87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是（城镇开发边界）</w:t>
            </w:r>
          </w:p>
        </w:tc>
        <w:tc>
          <w:tcPr>
            <w:tcW w:w="1014" w:type="dxa"/>
            <w:vAlign w:val="center"/>
          </w:tcPr>
          <w:p w14:paraId="457858D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63B0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33DA3A21">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024E467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在古社区</w:t>
            </w:r>
          </w:p>
        </w:tc>
        <w:tc>
          <w:tcPr>
            <w:tcW w:w="945" w:type="dxa"/>
            <w:vAlign w:val="center"/>
          </w:tcPr>
          <w:p w14:paraId="6D6102D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43.13</w:t>
            </w:r>
          </w:p>
        </w:tc>
        <w:tc>
          <w:tcPr>
            <w:tcW w:w="1064" w:type="dxa"/>
            <w:vAlign w:val="center"/>
          </w:tcPr>
          <w:p w14:paraId="66E2B2A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131</w:t>
            </w:r>
          </w:p>
        </w:tc>
        <w:tc>
          <w:tcPr>
            <w:tcW w:w="1073" w:type="dxa"/>
            <w:vAlign w:val="center"/>
          </w:tcPr>
          <w:p w14:paraId="5A0634A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0</w:t>
            </w:r>
          </w:p>
        </w:tc>
        <w:tc>
          <w:tcPr>
            <w:tcW w:w="1227" w:type="dxa"/>
            <w:vAlign w:val="center"/>
          </w:tcPr>
          <w:p w14:paraId="2E08D36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0.00%</w:t>
            </w:r>
          </w:p>
        </w:tc>
        <w:tc>
          <w:tcPr>
            <w:tcW w:w="1091" w:type="dxa"/>
            <w:vAlign w:val="center"/>
          </w:tcPr>
          <w:p w14:paraId="1D5EEF1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0EA1CEB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是（城镇开发边界）</w:t>
            </w:r>
          </w:p>
        </w:tc>
        <w:tc>
          <w:tcPr>
            <w:tcW w:w="1014" w:type="dxa"/>
            <w:vAlign w:val="center"/>
          </w:tcPr>
          <w:p w14:paraId="2C8C5EE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2A7B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3994AD9E">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77F6028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凤山社区</w:t>
            </w:r>
          </w:p>
        </w:tc>
        <w:tc>
          <w:tcPr>
            <w:tcW w:w="945" w:type="dxa"/>
            <w:vAlign w:val="center"/>
          </w:tcPr>
          <w:p w14:paraId="16FF6E1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2312.58</w:t>
            </w:r>
          </w:p>
        </w:tc>
        <w:tc>
          <w:tcPr>
            <w:tcW w:w="1064" w:type="dxa"/>
            <w:vAlign w:val="center"/>
          </w:tcPr>
          <w:p w14:paraId="53C3057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7030</w:t>
            </w:r>
          </w:p>
        </w:tc>
        <w:tc>
          <w:tcPr>
            <w:tcW w:w="1073" w:type="dxa"/>
            <w:vAlign w:val="center"/>
          </w:tcPr>
          <w:p w14:paraId="061D799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4202</w:t>
            </w:r>
          </w:p>
        </w:tc>
        <w:tc>
          <w:tcPr>
            <w:tcW w:w="1227" w:type="dxa"/>
            <w:vAlign w:val="center"/>
          </w:tcPr>
          <w:p w14:paraId="61F04E4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59.77%</w:t>
            </w:r>
          </w:p>
        </w:tc>
        <w:tc>
          <w:tcPr>
            <w:tcW w:w="1091" w:type="dxa"/>
            <w:vAlign w:val="center"/>
          </w:tcPr>
          <w:p w14:paraId="0A79755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存在超载风险</w:t>
            </w:r>
          </w:p>
        </w:tc>
        <w:tc>
          <w:tcPr>
            <w:tcW w:w="964" w:type="dxa"/>
            <w:vAlign w:val="center"/>
          </w:tcPr>
          <w:p w14:paraId="1D96473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1E3DE59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5D335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38" w:type="dxa"/>
            <w:vMerge w:val="continue"/>
            <w:vAlign w:val="center"/>
          </w:tcPr>
          <w:p w14:paraId="7A074B2D">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40C6407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青衣江村</w:t>
            </w:r>
          </w:p>
        </w:tc>
        <w:tc>
          <w:tcPr>
            <w:tcW w:w="945" w:type="dxa"/>
            <w:vAlign w:val="center"/>
          </w:tcPr>
          <w:p w14:paraId="048D470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2458.59</w:t>
            </w:r>
          </w:p>
        </w:tc>
        <w:tc>
          <w:tcPr>
            <w:tcW w:w="1064" w:type="dxa"/>
            <w:vAlign w:val="center"/>
          </w:tcPr>
          <w:p w14:paraId="044441D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7474</w:t>
            </w:r>
          </w:p>
        </w:tc>
        <w:tc>
          <w:tcPr>
            <w:tcW w:w="1073" w:type="dxa"/>
            <w:vAlign w:val="center"/>
          </w:tcPr>
          <w:p w14:paraId="29439F6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3232</w:t>
            </w:r>
          </w:p>
        </w:tc>
        <w:tc>
          <w:tcPr>
            <w:tcW w:w="1227" w:type="dxa"/>
            <w:vAlign w:val="center"/>
          </w:tcPr>
          <w:p w14:paraId="2E0205F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43.24%</w:t>
            </w:r>
          </w:p>
        </w:tc>
        <w:tc>
          <w:tcPr>
            <w:tcW w:w="1091" w:type="dxa"/>
            <w:vAlign w:val="center"/>
          </w:tcPr>
          <w:p w14:paraId="65061EB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7166EAA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72FBC6D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215D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restart"/>
            <w:vAlign w:val="center"/>
          </w:tcPr>
          <w:p w14:paraId="64764F4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r>
              <w:rPr>
                <w:rFonts w:hint="default" w:ascii="Times New Roman" w:hAnsi="Times New Roman" w:eastAsia="仿宋" w:cs="Times New Roman"/>
                <w:i w:val="0"/>
                <w:iCs w:val="0"/>
                <w:color w:val="000000"/>
                <w:kern w:val="0"/>
                <w:sz w:val="21"/>
                <w:szCs w:val="21"/>
                <w:highlight w:val="none"/>
                <w:u w:val="none"/>
                <w:lang w:val="en-US" w:eastAsia="zh-CN" w:bidi="ar"/>
              </w:rPr>
              <w:t>新场镇</w:t>
            </w:r>
          </w:p>
        </w:tc>
        <w:tc>
          <w:tcPr>
            <w:tcW w:w="1118" w:type="dxa"/>
            <w:vAlign w:val="center"/>
          </w:tcPr>
          <w:p w14:paraId="63E4CC7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红旗社区</w:t>
            </w:r>
          </w:p>
        </w:tc>
        <w:tc>
          <w:tcPr>
            <w:tcW w:w="945" w:type="dxa"/>
            <w:vAlign w:val="center"/>
          </w:tcPr>
          <w:p w14:paraId="4DAF77B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1261.24</w:t>
            </w:r>
          </w:p>
        </w:tc>
        <w:tc>
          <w:tcPr>
            <w:tcW w:w="1064" w:type="dxa"/>
            <w:vAlign w:val="center"/>
          </w:tcPr>
          <w:p w14:paraId="410D413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3834</w:t>
            </w:r>
          </w:p>
        </w:tc>
        <w:tc>
          <w:tcPr>
            <w:tcW w:w="1073" w:type="dxa"/>
            <w:vAlign w:val="center"/>
          </w:tcPr>
          <w:p w14:paraId="35193F3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3332</w:t>
            </w:r>
          </w:p>
        </w:tc>
        <w:tc>
          <w:tcPr>
            <w:tcW w:w="1227" w:type="dxa"/>
            <w:vAlign w:val="center"/>
          </w:tcPr>
          <w:p w14:paraId="62CCCC4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86.91%</w:t>
            </w:r>
          </w:p>
        </w:tc>
        <w:tc>
          <w:tcPr>
            <w:tcW w:w="1091" w:type="dxa"/>
            <w:vAlign w:val="center"/>
          </w:tcPr>
          <w:p w14:paraId="5CD7A4C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严重超载</w:t>
            </w:r>
          </w:p>
        </w:tc>
        <w:tc>
          <w:tcPr>
            <w:tcW w:w="964" w:type="dxa"/>
            <w:vAlign w:val="center"/>
          </w:tcPr>
          <w:p w14:paraId="726FB80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1EAC374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7BBBB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382B7E19">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7B3A6F4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新新社区</w:t>
            </w:r>
          </w:p>
        </w:tc>
        <w:tc>
          <w:tcPr>
            <w:tcW w:w="945" w:type="dxa"/>
            <w:vAlign w:val="center"/>
          </w:tcPr>
          <w:p w14:paraId="2CE90EE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786.53</w:t>
            </w:r>
          </w:p>
        </w:tc>
        <w:tc>
          <w:tcPr>
            <w:tcW w:w="1064" w:type="dxa"/>
            <w:vAlign w:val="center"/>
          </w:tcPr>
          <w:p w14:paraId="53CCAE7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2391</w:t>
            </w:r>
          </w:p>
        </w:tc>
        <w:tc>
          <w:tcPr>
            <w:tcW w:w="1073" w:type="dxa"/>
            <w:vAlign w:val="center"/>
          </w:tcPr>
          <w:p w14:paraId="539BF98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1823</w:t>
            </w:r>
          </w:p>
        </w:tc>
        <w:tc>
          <w:tcPr>
            <w:tcW w:w="1227" w:type="dxa"/>
            <w:vAlign w:val="center"/>
          </w:tcPr>
          <w:p w14:paraId="28E7BE8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76.22%</w:t>
            </w:r>
          </w:p>
        </w:tc>
        <w:tc>
          <w:tcPr>
            <w:tcW w:w="1091" w:type="dxa"/>
            <w:vAlign w:val="center"/>
          </w:tcPr>
          <w:p w14:paraId="43D7AE9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存在超载风险</w:t>
            </w:r>
          </w:p>
        </w:tc>
        <w:tc>
          <w:tcPr>
            <w:tcW w:w="964" w:type="dxa"/>
            <w:vAlign w:val="center"/>
          </w:tcPr>
          <w:p w14:paraId="047BF08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6AA7700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20FB7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075C3CF4">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14D7E22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刘水碾村</w:t>
            </w:r>
          </w:p>
        </w:tc>
        <w:tc>
          <w:tcPr>
            <w:tcW w:w="945" w:type="dxa"/>
            <w:vAlign w:val="center"/>
          </w:tcPr>
          <w:p w14:paraId="656CE47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3222.07</w:t>
            </w:r>
          </w:p>
        </w:tc>
        <w:tc>
          <w:tcPr>
            <w:tcW w:w="1064" w:type="dxa"/>
            <w:vAlign w:val="center"/>
          </w:tcPr>
          <w:p w14:paraId="42E191E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9795</w:t>
            </w:r>
          </w:p>
        </w:tc>
        <w:tc>
          <w:tcPr>
            <w:tcW w:w="1073" w:type="dxa"/>
            <w:vAlign w:val="center"/>
          </w:tcPr>
          <w:p w14:paraId="6ED2A9A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10188</w:t>
            </w:r>
          </w:p>
        </w:tc>
        <w:tc>
          <w:tcPr>
            <w:tcW w:w="1227" w:type="dxa"/>
            <w:vAlign w:val="center"/>
          </w:tcPr>
          <w:p w14:paraId="6DC67D0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104.02%</w:t>
            </w:r>
          </w:p>
        </w:tc>
        <w:tc>
          <w:tcPr>
            <w:tcW w:w="1091" w:type="dxa"/>
            <w:vAlign w:val="center"/>
          </w:tcPr>
          <w:p w14:paraId="30B84CB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严重超载</w:t>
            </w:r>
          </w:p>
        </w:tc>
        <w:tc>
          <w:tcPr>
            <w:tcW w:w="964" w:type="dxa"/>
            <w:vAlign w:val="center"/>
          </w:tcPr>
          <w:p w14:paraId="4D58876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3A1A251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702A8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7895F3C4">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70E747D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东风村</w:t>
            </w:r>
          </w:p>
        </w:tc>
        <w:tc>
          <w:tcPr>
            <w:tcW w:w="945" w:type="dxa"/>
            <w:vAlign w:val="center"/>
          </w:tcPr>
          <w:p w14:paraId="7138469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2093.00</w:t>
            </w:r>
          </w:p>
        </w:tc>
        <w:tc>
          <w:tcPr>
            <w:tcW w:w="1064" w:type="dxa"/>
            <w:vAlign w:val="center"/>
          </w:tcPr>
          <w:p w14:paraId="552439B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6363</w:t>
            </w:r>
          </w:p>
        </w:tc>
        <w:tc>
          <w:tcPr>
            <w:tcW w:w="1073" w:type="dxa"/>
            <w:vAlign w:val="center"/>
          </w:tcPr>
          <w:p w14:paraId="2D5E606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4640</w:t>
            </w:r>
          </w:p>
        </w:tc>
        <w:tc>
          <w:tcPr>
            <w:tcW w:w="1227" w:type="dxa"/>
            <w:vAlign w:val="center"/>
          </w:tcPr>
          <w:p w14:paraId="47C0F5F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72.92%</w:t>
            </w:r>
          </w:p>
        </w:tc>
        <w:tc>
          <w:tcPr>
            <w:tcW w:w="1091" w:type="dxa"/>
            <w:vAlign w:val="center"/>
          </w:tcPr>
          <w:p w14:paraId="450484C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存在超载风险</w:t>
            </w:r>
          </w:p>
        </w:tc>
        <w:tc>
          <w:tcPr>
            <w:tcW w:w="964" w:type="dxa"/>
            <w:vAlign w:val="center"/>
          </w:tcPr>
          <w:p w14:paraId="121F822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1A2BEE8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1E13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7037F55D">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77BD711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欣梧村</w:t>
            </w:r>
          </w:p>
        </w:tc>
        <w:tc>
          <w:tcPr>
            <w:tcW w:w="945" w:type="dxa"/>
            <w:vAlign w:val="center"/>
          </w:tcPr>
          <w:p w14:paraId="3B91EB4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2469.15</w:t>
            </w:r>
          </w:p>
        </w:tc>
        <w:tc>
          <w:tcPr>
            <w:tcW w:w="1064" w:type="dxa"/>
            <w:vAlign w:val="center"/>
          </w:tcPr>
          <w:p w14:paraId="1B5172A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7506</w:t>
            </w:r>
          </w:p>
        </w:tc>
        <w:tc>
          <w:tcPr>
            <w:tcW w:w="1073" w:type="dxa"/>
            <w:vAlign w:val="center"/>
          </w:tcPr>
          <w:p w14:paraId="6C82A77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797</w:t>
            </w:r>
          </w:p>
        </w:tc>
        <w:tc>
          <w:tcPr>
            <w:tcW w:w="1227" w:type="dxa"/>
            <w:vAlign w:val="center"/>
          </w:tcPr>
          <w:p w14:paraId="2394EB5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10.61%</w:t>
            </w:r>
          </w:p>
        </w:tc>
        <w:tc>
          <w:tcPr>
            <w:tcW w:w="1091" w:type="dxa"/>
            <w:vAlign w:val="center"/>
          </w:tcPr>
          <w:p w14:paraId="0C25768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4EE9DE3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4DD6865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70C9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1F605713">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6009E1B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欣凤村</w:t>
            </w:r>
          </w:p>
        </w:tc>
        <w:tc>
          <w:tcPr>
            <w:tcW w:w="945" w:type="dxa"/>
            <w:vAlign w:val="center"/>
          </w:tcPr>
          <w:p w14:paraId="1FA6405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2225.83</w:t>
            </w:r>
          </w:p>
        </w:tc>
        <w:tc>
          <w:tcPr>
            <w:tcW w:w="1064" w:type="dxa"/>
            <w:vAlign w:val="center"/>
          </w:tcPr>
          <w:p w14:paraId="7D6C751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6767</w:t>
            </w:r>
          </w:p>
        </w:tc>
        <w:tc>
          <w:tcPr>
            <w:tcW w:w="1073" w:type="dxa"/>
            <w:vAlign w:val="center"/>
          </w:tcPr>
          <w:p w14:paraId="568E919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17919</w:t>
            </w:r>
          </w:p>
        </w:tc>
        <w:tc>
          <w:tcPr>
            <w:tcW w:w="1227" w:type="dxa"/>
            <w:vAlign w:val="center"/>
          </w:tcPr>
          <w:p w14:paraId="4BAC042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264.81%</w:t>
            </w:r>
          </w:p>
        </w:tc>
        <w:tc>
          <w:tcPr>
            <w:tcW w:w="1091" w:type="dxa"/>
            <w:vAlign w:val="center"/>
          </w:tcPr>
          <w:p w14:paraId="336895D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严重超载</w:t>
            </w:r>
          </w:p>
        </w:tc>
        <w:tc>
          <w:tcPr>
            <w:tcW w:w="964" w:type="dxa"/>
            <w:vAlign w:val="center"/>
          </w:tcPr>
          <w:p w14:paraId="39D8D05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01C509A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3275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5A4D7213">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3DB2688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团结村</w:t>
            </w:r>
          </w:p>
        </w:tc>
        <w:tc>
          <w:tcPr>
            <w:tcW w:w="945" w:type="dxa"/>
            <w:vAlign w:val="center"/>
          </w:tcPr>
          <w:p w14:paraId="5E71F6E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2675.19</w:t>
            </w:r>
          </w:p>
        </w:tc>
        <w:tc>
          <w:tcPr>
            <w:tcW w:w="1064" w:type="dxa"/>
            <w:vAlign w:val="center"/>
          </w:tcPr>
          <w:p w14:paraId="7F786AB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8133</w:t>
            </w:r>
          </w:p>
        </w:tc>
        <w:tc>
          <w:tcPr>
            <w:tcW w:w="1073" w:type="dxa"/>
            <w:vAlign w:val="center"/>
          </w:tcPr>
          <w:p w14:paraId="460253B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33111</w:t>
            </w:r>
          </w:p>
        </w:tc>
        <w:tc>
          <w:tcPr>
            <w:tcW w:w="1227" w:type="dxa"/>
            <w:vAlign w:val="center"/>
          </w:tcPr>
          <w:p w14:paraId="02B520B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407.14%</w:t>
            </w:r>
          </w:p>
        </w:tc>
        <w:tc>
          <w:tcPr>
            <w:tcW w:w="1091" w:type="dxa"/>
            <w:vAlign w:val="center"/>
          </w:tcPr>
          <w:p w14:paraId="51A832A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严重超载</w:t>
            </w:r>
          </w:p>
        </w:tc>
        <w:tc>
          <w:tcPr>
            <w:tcW w:w="964" w:type="dxa"/>
            <w:vAlign w:val="center"/>
          </w:tcPr>
          <w:p w14:paraId="39D2DB7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6018710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244E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34F6CCC4">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3F85E02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慈影社区</w:t>
            </w:r>
          </w:p>
        </w:tc>
        <w:tc>
          <w:tcPr>
            <w:tcW w:w="945" w:type="dxa"/>
            <w:vAlign w:val="center"/>
          </w:tcPr>
          <w:p w14:paraId="3A5D958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2231.48</w:t>
            </w:r>
          </w:p>
        </w:tc>
        <w:tc>
          <w:tcPr>
            <w:tcW w:w="1064" w:type="dxa"/>
            <w:vAlign w:val="center"/>
          </w:tcPr>
          <w:p w14:paraId="166954F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6784</w:t>
            </w:r>
          </w:p>
        </w:tc>
        <w:tc>
          <w:tcPr>
            <w:tcW w:w="1073" w:type="dxa"/>
            <w:vAlign w:val="center"/>
          </w:tcPr>
          <w:p w14:paraId="01F0DA1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902</w:t>
            </w:r>
          </w:p>
        </w:tc>
        <w:tc>
          <w:tcPr>
            <w:tcW w:w="1227" w:type="dxa"/>
            <w:vAlign w:val="center"/>
          </w:tcPr>
          <w:p w14:paraId="56221C2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13.30%</w:t>
            </w:r>
          </w:p>
        </w:tc>
        <w:tc>
          <w:tcPr>
            <w:tcW w:w="1091" w:type="dxa"/>
            <w:vAlign w:val="center"/>
          </w:tcPr>
          <w:p w14:paraId="2BF92C4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3C241BF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6D9F062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1DC71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67CDD79E">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7D08CFB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东山村</w:t>
            </w:r>
          </w:p>
        </w:tc>
        <w:tc>
          <w:tcPr>
            <w:tcW w:w="945" w:type="dxa"/>
            <w:vAlign w:val="center"/>
          </w:tcPr>
          <w:p w14:paraId="09BB9A0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2254.56</w:t>
            </w:r>
          </w:p>
        </w:tc>
        <w:tc>
          <w:tcPr>
            <w:tcW w:w="1064" w:type="dxa"/>
            <w:vAlign w:val="center"/>
          </w:tcPr>
          <w:p w14:paraId="258EF79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6854</w:t>
            </w:r>
          </w:p>
        </w:tc>
        <w:tc>
          <w:tcPr>
            <w:tcW w:w="1073" w:type="dxa"/>
            <w:vAlign w:val="center"/>
          </w:tcPr>
          <w:p w14:paraId="14A60AC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7909</w:t>
            </w:r>
          </w:p>
        </w:tc>
        <w:tc>
          <w:tcPr>
            <w:tcW w:w="1227" w:type="dxa"/>
            <w:vAlign w:val="center"/>
          </w:tcPr>
          <w:p w14:paraId="392E95A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115.40%</w:t>
            </w:r>
          </w:p>
        </w:tc>
        <w:tc>
          <w:tcPr>
            <w:tcW w:w="1091" w:type="dxa"/>
            <w:vAlign w:val="center"/>
          </w:tcPr>
          <w:p w14:paraId="34533F6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严重超载</w:t>
            </w:r>
          </w:p>
        </w:tc>
        <w:tc>
          <w:tcPr>
            <w:tcW w:w="964" w:type="dxa"/>
            <w:vAlign w:val="center"/>
          </w:tcPr>
          <w:p w14:paraId="3379C95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1BC41FC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6B847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63F7F3C4">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2678D6E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建国村</w:t>
            </w:r>
          </w:p>
        </w:tc>
        <w:tc>
          <w:tcPr>
            <w:tcW w:w="945" w:type="dxa"/>
            <w:vAlign w:val="center"/>
          </w:tcPr>
          <w:p w14:paraId="2C7FFC4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1406.00</w:t>
            </w:r>
          </w:p>
        </w:tc>
        <w:tc>
          <w:tcPr>
            <w:tcW w:w="1064" w:type="dxa"/>
            <w:vAlign w:val="center"/>
          </w:tcPr>
          <w:p w14:paraId="0D7936C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4274</w:t>
            </w:r>
          </w:p>
        </w:tc>
        <w:tc>
          <w:tcPr>
            <w:tcW w:w="1073" w:type="dxa"/>
            <w:vAlign w:val="center"/>
          </w:tcPr>
          <w:p w14:paraId="36C67A6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2873</w:t>
            </w:r>
          </w:p>
        </w:tc>
        <w:tc>
          <w:tcPr>
            <w:tcW w:w="1227" w:type="dxa"/>
            <w:vAlign w:val="center"/>
          </w:tcPr>
          <w:p w14:paraId="1A6906D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67.21%</w:t>
            </w:r>
          </w:p>
        </w:tc>
        <w:tc>
          <w:tcPr>
            <w:tcW w:w="1091" w:type="dxa"/>
            <w:vAlign w:val="center"/>
          </w:tcPr>
          <w:p w14:paraId="7F7F697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存在超载风险</w:t>
            </w:r>
          </w:p>
        </w:tc>
        <w:tc>
          <w:tcPr>
            <w:tcW w:w="964" w:type="dxa"/>
            <w:vAlign w:val="center"/>
          </w:tcPr>
          <w:p w14:paraId="70EEC11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14F4702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0659B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189FEBAA">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3F5A2C4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土门铺社区</w:t>
            </w:r>
          </w:p>
        </w:tc>
        <w:tc>
          <w:tcPr>
            <w:tcW w:w="945" w:type="dxa"/>
            <w:vAlign w:val="center"/>
          </w:tcPr>
          <w:p w14:paraId="4A4C0D6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2539.49</w:t>
            </w:r>
          </w:p>
        </w:tc>
        <w:tc>
          <w:tcPr>
            <w:tcW w:w="1064" w:type="dxa"/>
            <w:vAlign w:val="center"/>
          </w:tcPr>
          <w:p w14:paraId="067F9B6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7720</w:t>
            </w:r>
          </w:p>
        </w:tc>
        <w:tc>
          <w:tcPr>
            <w:tcW w:w="1073" w:type="dxa"/>
            <w:vAlign w:val="center"/>
          </w:tcPr>
          <w:p w14:paraId="038CA85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4318</w:t>
            </w:r>
          </w:p>
        </w:tc>
        <w:tc>
          <w:tcPr>
            <w:tcW w:w="1227" w:type="dxa"/>
            <w:vAlign w:val="center"/>
          </w:tcPr>
          <w:p w14:paraId="160E784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55.93%</w:t>
            </w:r>
          </w:p>
        </w:tc>
        <w:tc>
          <w:tcPr>
            <w:tcW w:w="1091" w:type="dxa"/>
            <w:vAlign w:val="center"/>
          </w:tcPr>
          <w:p w14:paraId="05A99DB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存在超载风险</w:t>
            </w:r>
          </w:p>
        </w:tc>
        <w:tc>
          <w:tcPr>
            <w:tcW w:w="964" w:type="dxa"/>
            <w:vAlign w:val="center"/>
          </w:tcPr>
          <w:p w14:paraId="3E506D5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3322F4A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6C6EE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5BC17018">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1B73476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营房村</w:t>
            </w:r>
          </w:p>
        </w:tc>
        <w:tc>
          <w:tcPr>
            <w:tcW w:w="945" w:type="dxa"/>
            <w:vAlign w:val="center"/>
          </w:tcPr>
          <w:p w14:paraId="1A4ABAD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1879.67</w:t>
            </w:r>
          </w:p>
        </w:tc>
        <w:tc>
          <w:tcPr>
            <w:tcW w:w="1064" w:type="dxa"/>
            <w:vAlign w:val="center"/>
          </w:tcPr>
          <w:p w14:paraId="1E40E4D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5714</w:t>
            </w:r>
          </w:p>
        </w:tc>
        <w:tc>
          <w:tcPr>
            <w:tcW w:w="1073" w:type="dxa"/>
            <w:vAlign w:val="center"/>
          </w:tcPr>
          <w:p w14:paraId="53A47C6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6480</w:t>
            </w:r>
          </w:p>
        </w:tc>
        <w:tc>
          <w:tcPr>
            <w:tcW w:w="1227" w:type="dxa"/>
            <w:vAlign w:val="center"/>
          </w:tcPr>
          <w:p w14:paraId="7925E19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113.41%</w:t>
            </w:r>
          </w:p>
        </w:tc>
        <w:tc>
          <w:tcPr>
            <w:tcW w:w="1091" w:type="dxa"/>
            <w:vAlign w:val="center"/>
          </w:tcPr>
          <w:p w14:paraId="0DFDAE3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严重超载</w:t>
            </w:r>
          </w:p>
        </w:tc>
        <w:tc>
          <w:tcPr>
            <w:tcW w:w="964" w:type="dxa"/>
            <w:vAlign w:val="center"/>
          </w:tcPr>
          <w:p w14:paraId="562BC66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2D14D5A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7F081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78E900DD">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347964E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万福村</w:t>
            </w:r>
          </w:p>
        </w:tc>
        <w:tc>
          <w:tcPr>
            <w:tcW w:w="945" w:type="dxa"/>
            <w:vAlign w:val="center"/>
          </w:tcPr>
          <w:p w14:paraId="70182F2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4549.54</w:t>
            </w:r>
          </w:p>
        </w:tc>
        <w:tc>
          <w:tcPr>
            <w:tcW w:w="1064" w:type="dxa"/>
            <w:vAlign w:val="center"/>
          </w:tcPr>
          <w:p w14:paraId="28C67C2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13831</w:t>
            </w:r>
          </w:p>
        </w:tc>
        <w:tc>
          <w:tcPr>
            <w:tcW w:w="1073" w:type="dxa"/>
            <w:vAlign w:val="center"/>
          </w:tcPr>
          <w:p w14:paraId="742A6EA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3709</w:t>
            </w:r>
          </w:p>
        </w:tc>
        <w:tc>
          <w:tcPr>
            <w:tcW w:w="1227" w:type="dxa"/>
            <w:vAlign w:val="center"/>
          </w:tcPr>
          <w:p w14:paraId="7789635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26.82%</w:t>
            </w:r>
          </w:p>
        </w:tc>
        <w:tc>
          <w:tcPr>
            <w:tcW w:w="1091" w:type="dxa"/>
            <w:vAlign w:val="center"/>
          </w:tcPr>
          <w:p w14:paraId="1899F5A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4AC5E7B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5A4ED94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5F890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restart"/>
            <w:vAlign w:val="center"/>
          </w:tcPr>
          <w:p w14:paraId="6444AA9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微软雅黑" w:cs="Times New Roman"/>
                <w:i w:val="0"/>
                <w:iCs w:val="0"/>
                <w:color w:val="000000"/>
                <w:kern w:val="0"/>
                <w:sz w:val="20"/>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甘江镇</w:t>
            </w:r>
          </w:p>
        </w:tc>
        <w:tc>
          <w:tcPr>
            <w:tcW w:w="1118" w:type="dxa"/>
            <w:vAlign w:val="center"/>
          </w:tcPr>
          <w:p w14:paraId="4760E27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顺河村</w:t>
            </w:r>
          </w:p>
        </w:tc>
        <w:tc>
          <w:tcPr>
            <w:tcW w:w="945" w:type="dxa"/>
            <w:vAlign w:val="center"/>
          </w:tcPr>
          <w:p w14:paraId="0F55393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6656.16</w:t>
            </w:r>
          </w:p>
        </w:tc>
        <w:tc>
          <w:tcPr>
            <w:tcW w:w="1064" w:type="dxa"/>
            <w:vAlign w:val="center"/>
          </w:tcPr>
          <w:p w14:paraId="729294C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20235</w:t>
            </w:r>
          </w:p>
        </w:tc>
        <w:tc>
          <w:tcPr>
            <w:tcW w:w="1073" w:type="dxa"/>
            <w:vAlign w:val="center"/>
          </w:tcPr>
          <w:p w14:paraId="3A9BE47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6385</w:t>
            </w:r>
          </w:p>
        </w:tc>
        <w:tc>
          <w:tcPr>
            <w:tcW w:w="1227" w:type="dxa"/>
            <w:vAlign w:val="center"/>
          </w:tcPr>
          <w:p w14:paraId="61696CB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31.55%</w:t>
            </w:r>
          </w:p>
        </w:tc>
        <w:tc>
          <w:tcPr>
            <w:tcW w:w="1091" w:type="dxa"/>
            <w:vAlign w:val="center"/>
          </w:tcPr>
          <w:p w14:paraId="110C52C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57EF676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18E1246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5CFB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1CB67A59">
            <w:pPr>
              <w:jc w:val="center"/>
              <w:rPr>
                <w:rFonts w:hint="default" w:ascii="Times New Roman" w:hAnsi="Times New Roman" w:eastAsia="微软雅黑" w:cs="Times New Roman"/>
                <w:i w:val="0"/>
                <w:iCs w:val="0"/>
                <w:color w:val="000000"/>
                <w:kern w:val="0"/>
                <w:sz w:val="20"/>
                <w:szCs w:val="21"/>
                <w:highlight w:val="none"/>
                <w:u w:val="none"/>
                <w:lang w:val="en-US" w:eastAsia="zh-CN" w:bidi="ar"/>
              </w:rPr>
            </w:pPr>
          </w:p>
        </w:tc>
        <w:tc>
          <w:tcPr>
            <w:tcW w:w="1118" w:type="dxa"/>
            <w:vAlign w:val="center"/>
          </w:tcPr>
          <w:p w14:paraId="7FE7F36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甘霖村</w:t>
            </w:r>
          </w:p>
        </w:tc>
        <w:tc>
          <w:tcPr>
            <w:tcW w:w="945" w:type="dxa"/>
            <w:vAlign w:val="center"/>
          </w:tcPr>
          <w:p w14:paraId="18B1B93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8326.65</w:t>
            </w:r>
          </w:p>
        </w:tc>
        <w:tc>
          <w:tcPr>
            <w:tcW w:w="1064" w:type="dxa"/>
            <w:vAlign w:val="center"/>
          </w:tcPr>
          <w:p w14:paraId="05F4465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25313</w:t>
            </w:r>
          </w:p>
        </w:tc>
        <w:tc>
          <w:tcPr>
            <w:tcW w:w="1073" w:type="dxa"/>
            <w:vAlign w:val="center"/>
          </w:tcPr>
          <w:p w14:paraId="1FDD4DC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9617</w:t>
            </w:r>
          </w:p>
        </w:tc>
        <w:tc>
          <w:tcPr>
            <w:tcW w:w="1227" w:type="dxa"/>
            <w:vAlign w:val="center"/>
          </w:tcPr>
          <w:p w14:paraId="738BADB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37.99%</w:t>
            </w:r>
          </w:p>
        </w:tc>
        <w:tc>
          <w:tcPr>
            <w:tcW w:w="1091" w:type="dxa"/>
            <w:vAlign w:val="center"/>
          </w:tcPr>
          <w:p w14:paraId="7E823C3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2E799F3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57ECF5D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63FD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0BA545D6">
            <w:pPr>
              <w:jc w:val="center"/>
              <w:rPr>
                <w:rFonts w:hint="default" w:ascii="Times New Roman" w:hAnsi="Times New Roman" w:eastAsia="微软雅黑" w:cs="Times New Roman"/>
                <w:i w:val="0"/>
                <w:iCs w:val="0"/>
                <w:color w:val="000000"/>
                <w:kern w:val="0"/>
                <w:sz w:val="20"/>
                <w:szCs w:val="21"/>
                <w:highlight w:val="none"/>
                <w:u w:val="none"/>
                <w:lang w:val="en-US" w:eastAsia="zh-CN" w:bidi="ar"/>
              </w:rPr>
            </w:pPr>
          </w:p>
        </w:tc>
        <w:tc>
          <w:tcPr>
            <w:tcW w:w="1118" w:type="dxa"/>
            <w:vAlign w:val="center"/>
          </w:tcPr>
          <w:p w14:paraId="22BFE45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新生村</w:t>
            </w:r>
          </w:p>
        </w:tc>
        <w:tc>
          <w:tcPr>
            <w:tcW w:w="945" w:type="dxa"/>
            <w:vAlign w:val="center"/>
          </w:tcPr>
          <w:p w14:paraId="1717E37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5453.61</w:t>
            </w:r>
          </w:p>
        </w:tc>
        <w:tc>
          <w:tcPr>
            <w:tcW w:w="1064" w:type="dxa"/>
            <w:vAlign w:val="center"/>
          </w:tcPr>
          <w:p w14:paraId="27E4E26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16579</w:t>
            </w:r>
          </w:p>
        </w:tc>
        <w:tc>
          <w:tcPr>
            <w:tcW w:w="1073" w:type="dxa"/>
            <w:vAlign w:val="center"/>
          </w:tcPr>
          <w:p w14:paraId="3B1391B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4088</w:t>
            </w:r>
          </w:p>
        </w:tc>
        <w:tc>
          <w:tcPr>
            <w:tcW w:w="1227" w:type="dxa"/>
            <w:vAlign w:val="center"/>
          </w:tcPr>
          <w:p w14:paraId="40637B4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24.66%</w:t>
            </w:r>
          </w:p>
        </w:tc>
        <w:tc>
          <w:tcPr>
            <w:tcW w:w="1091" w:type="dxa"/>
            <w:vAlign w:val="center"/>
          </w:tcPr>
          <w:p w14:paraId="1E268F7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168B8A7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0EBECE7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03F31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67B2D2FD">
            <w:pPr>
              <w:jc w:val="center"/>
              <w:rPr>
                <w:rFonts w:hint="default" w:ascii="Times New Roman" w:hAnsi="Times New Roman" w:eastAsia="微软雅黑" w:cs="Times New Roman"/>
                <w:i w:val="0"/>
                <w:iCs w:val="0"/>
                <w:color w:val="000000"/>
                <w:kern w:val="0"/>
                <w:sz w:val="20"/>
                <w:szCs w:val="21"/>
                <w:highlight w:val="none"/>
                <w:u w:val="none"/>
                <w:lang w:val="en-US" w:eastAsia="zh-CN" w:bidi="ar"/>
              </w:rPr>
            </w:pPr>
          </w:p>
        </w:tc>
        <w:tc>
          <w:tcPr>
            <w:tcW w:w="1118" w:type="dxa"/>
            <w:vAlign w:val="center"/>
          </w:tcPr>
          <w:p w14:paraId="0CFA2C7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甘露村</w:t>
            </w:r>
          </w:p>
        </w:tc>
        <w:tc>
          <w:tcPr>
            <w:tcW w:w="945" w:type="dxa"/>
            <w:vAlign w:val="center"/>
          </w:tcPr>
          <w:p w14:paraId="50B925C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8660.52</w:t>
            </w:r>
          </w:p>
        </w:tc>
        <w:tc>
          <w:tcPr>
            <w:tcW w:w="1064" w:type="dxa"/>
            <w:vAlign w:val="center"/>
          </w:tcPr>
          <w:p w14:paraId="622C965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26328</w:t>
            </w:r>
          </w:p>
        </w:tc>
        <w:tc>
          <w:tcPr>
            <w:tcW w:w="1073" w:type="dxa"/>
            <w:vAlign w:val="center"/>
          </w:tcPr>
          <w:p w14:paraId="4D3475B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5501</w:t>
            </w:r>
          </w:p>
        </w:tc>
        <w:tc>
          <w:tcPr>
            <w:tcW w:w="1227" w:type="dxa"/>
            <w:vAlign w:val="center"/>
          </w:tcPr>
          <w:p w14:paraId="52C09FE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20.89%</w:t>
            </w:r>
          </w:p>
        </w:tc>
        <w:tc>
          <w:tcPr>
            <w:tcW w:w="1091" w:type="dxa"/>
            <w:vAlign w:val="center"/>
          </w:tcPr>
          <w:p w14:paraId="628E3BB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2D71C1F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7DF8A8C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783F5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754D43CA">
            <w:pPr>
              <w:jc w:val="center"/>
              <w:rPr>
                <w:rFonts w:hint="default" w:ascii="Times New Roman" w:hAnsi="Times New Roman" w:eastAsia="微软雅黑" w:cs="Times New Roman"/>
                <w:i w:val="0"/>
                <w:iCs w:val="0"/>
                <w:color w:val="000000"/>
                <w:kern w:val="0"/>
                <w:sz w:val="20"/>
                <w:szCs w:val="21"/>
                <w:highlight w:val="none"/>
                <w:u w:val="none"/>
                <w:lang w:val="en-US" w:eastAsia="zh-CN" w:bidi="ar"/>
              </w:rPr>
            </w:pPr>
          </w:p>
        </w:tc>
        <w:tc>
          <w:tcPr>
            <w:tcW w:w="1118" w:type="dxa"/>
            <w:vAlign w:val="center"/>
          </w:tcPr>
          <w:p w14:paraId="478B5CC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滨河社区</w:t>
            </w:r>
          </w:p>
        </w:tc>
        <w:tc>
          <w:tcPr>
            <w:tcW w:w="945" w:type="dxa"/>
            <w:vAlign w:val="center"/>
          </w:tcPr>
          <w:p w14:paraId="008EF4C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4927.74</w:t>
            </w:r>
          </w:p>
        </w:tc>
        <w:tc>
          <w:tcPr>
            <w:tcW w:w="1064" w:type="dxa"/>
            <w:vAlign w:val="center"/>
          </w:tcPr>
          <w:p w14:paraId="1603D66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14980</w:t>
            </w:r>
          </w:p>
        </w:tc>
        <w:tc>
          <w:tcPr>
            <w:tcW w:w="1073" w:type="dxa"/>
            <w:vAlign w:val="center"/>
          </w:tcPr>
          <w:p w14:paraId="0687A77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1149</w:t>
            </w:r>
          </w:p>
        </w:tc>
        <w:tc>
          <w:tcPr>
            <w:tcW w:w="1227" w:type="dxa"/>
            <w:vAlign w:val="center"/>
          </w:tcPr>
          <w:p w14:paraId="7E51E9D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7.67%</w:t>
            </w:r>
          </w:p>
        </w:tc>
        <w:tc>
          <w:tcPr>
            <w:tcW w:w="1091" w:type="dxa"/>
            <w:vAlign w:val="center"/>
          </w:tcPr>
          <w:p w14:paraId="6CA02CE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720AC7D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4268336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5CB4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5ED01350">
            <w:pPr>
              <w:jc w:val="center"/>
              <w:rPr>
                <w:rFonts w:hint="default" w:ascii="Times New Roman" w:hAnsi="Times New Roman" w:eastAsia="微软雅黑" w:cs="Times New Roman"/>
                <w:i w:val="0"/>
                <w:iCs w:val="0"/>
                <w:color w:val="000000"/>
                <w:kern w:val="0"/>
                <w:sz w:val="20"/>
                <w:szCs w:val="21"/>
                <w:highlight w:val="none"/>
                <w:u w:val="none"/>
                <w:lang w:val="en-US" w:eastAsia="zh-CN" w:bidi="ar"/>
              </w:rPr>
            </w:pPr>
          </w:p>
        </w:tc>
        <w:tc>
          <w:tcPr>
            <w:tcW w:w="1118" w:type="dxa"/>
            <w:vAlign w:val="center"/>
          </w:tcPr>
          <w:p w14:paraId="165506C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甘江社区</w:t>
            </w:r>
          </w:p>
        </w:tc>
        <w:tc>
          <w:tcPr>
            <w:tcW w:w="945" w:type="dxa"/>
            <w:vAlign w:val="center"/>
          </w:tcPr>
          <w:p w14:paraId="7FDD1B6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7151.70</w:t>
            </w:r>
          </w:p>
        </w:tc>
        <w:tc>
          <w:tcPr>
            <w:tcW w:w="1064" w:type="dxa"/>
            <w:vAlign w:val="center"/>
          </w:tcPr>
          <w:p w14:paraId="5C39DC5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21741</w:t>
            </w:r>
          </w:p>
        </w:tc>
        <w:tc>
          <w:tcPr>
            <w:tcW w:w="1073" w:type="dxa"/>
            <w:vAlign w:val="center"/>
          </w:tcPr>
          <w:p w14:paraId="743FF38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8142</w:t>
            </w:r>
          </w:p>
        </w:tc>
        <w:tc>
          <w:tcPr>
            <w:tcW w:w="1227" w:type="dxa"/>
            <w:vAlign w:val="center"/>
          </w:tcPr>
          <w:p w14:paraId="5680B59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37.45%</w:t>
            </w:r>
          </w:p>
        </w:tc>
        <w:tc>
          <w:tcPr>
            <w:tcW w:w="1091" w:type="dxa"/>
            <w:vAlign w:val="center"/>
          </w:tcPr>
          <w:p w14:paraId="5DD4AB7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553C819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34114D4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2E70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48F08817">
            <w:pPr>
              <w:jc w:val="center"/>
              <w:rPr>
                <w:rFonts w:hint="default" w:ascii="Times New Roman" w:hAnsi="Times New Roman" w:eastAsia="微软雅黑" w:cs="Times New Roman"/>
                <w:i w:val="0"/>
                <w:iCs w:val="0"/>
                <w:color w:val="000000"/>
                <w:kern w:val="0"/>
                <w:sz w:val="20"/>
                <w:szCs w:val="21"/>
                <w:highlight w:val="none"/>
                <w:u w:val="none"/>
                <w:lang w:val="en-US" w:eastAsia="zh-CN" w:bidi="ar"/>
              </w:rPr>
            </w:pPr>
          </w:p>
        </w:tc>
        <w:tc>
          <w:tcPr>
            <w:tcW w:w="1118" w:type="dxa"/>
            <w:vAlign w:val="center"/>
          </w:tcPr>
          <w:p w14:paraId="5EA7EF4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金银河村</w:t>
            </w:r>
          </w:p>
        </w:tc>
        <w:tc>
          <w:tcPr>
            <w:tcW w:w="945" w:type="dxa"/>
            <w:vAlign w:val="center"/>
          </w:tcPr>
          <w:p w14:paraId="15C3F0E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4737.47</w:t>
            </w:r>
          </w:p>
        </w:tc>
        <w:tc>
          <w:tcPr>
            <w:tcW w:w="1064" w:type="dxa"/>
            <w:vAlign w:val="center"/>
          </w:tcPr>
          <w:p w14:paraId="295CDD5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14402</w:t>
            </w:r>
          </w:p>
        </w:tc>
        <w:tc>
          <w:tcPr>
            <w:tcW w:w="1073" w:type="dxa"/>
            <w:vAlign w:val="center"/>
          </w:tcPr>
          <w:p w14:paraId="3671EDA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2729</w:t>
            </w:r>
          </w:p>
        </w:tc>
        <w:tc>
          <w:tcPr>
            <w:tcW w:w="1227" w:type="dxa"/>
            <w:vAlign w:val="center"/>
          </w:tcPr>
          <w:p w14:paraId="5C5B878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18.95%</w:t>
            </w:r>
          </w:p>
        </w:tc>
        <w:tc>
          <w:tcPr>
            <w:tcW w:w="1091" w:type="dxa"/>
            <w:vAlign w:val="center"/>
          </w:tcPr>
          <w:p w14:paraId="087FE10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4DA27B9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7E33BDB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65FE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5193FF17">
            <w:pPr>
              <w:jc w:val="center"/>
              <w:rPr>
                <w:rFonts w:hint="default" w:ascii="Times New Roman" w:hAnsi="Times New Roman" w:eastAsia="微软雅黑" w:cs="Times New Roman"/>
                <w:i w:val="0"/>
                <w:iCs w:val="0"/>
                <w:color w:val="000000"/>
                <w:kern w:val="0"/>
                <w:sz w:val="20"/>
                <w:szCs w:val="21"/>
                <w:highlight w:val="none"/>
                <w:u w:val="none"/>
                <w:lang w:val="en-US" w:eastAsia="zh-CN" w:bidi="ar"/>
              </w:rPr>
            </w:pPr>
          </w:p>
        </w:tc>
        <w:tc>
          <w:tcPr>
            <w:tcW w:w="1118" w:type="dxa"/>
            <w:vAlign w:val="center"/>
          </w:tcPr>
          <w:p w14:paraId="0FCE759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弱漹村</w:t>
            </w:r>
          </w:p>
        </w:tc>
        <w:tc>
          <w:tcPr>
            <w:tcW w:w="945" w:type="dxa"/>
            <w:vAlign w:val="center"/>
          </w:tcPr>
          <w:p w14:paraId="3BF4DB6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4779.34</w:t>
            </w:r>
          </w:p>
        </w:tc>
        <w:tc>
          <w:tcPr>
            <w:tcW w:w="1064" w:type="dxa"/>
            <w:vAlign w:val="center"/>
          </w:tcPr>
          <w:p w14:paraId="665E81D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14529</w:t>
            </w:r>
          </w:p>
        </w:tc>
        <w:tc>
          <w:tcPr>
            <w:tcW w:w="1073" w:type="dxa"/>
            <w:vAlign w:val="center"/>
          </w:tcPr>
          <w:p w14:paraId="2A1DD7B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4458</w:t>
            </w:r>
          </w:p>
        </w:tc>
        <w:tc>
          <w:tcPr>
            <w:tcW w:w="1227" w:type="dxa"/>
            <w:vAlign w:val="center"/>
          </w:tcPr>
          <w:p w14:paraId="19DF535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30.68%</w:t>
            </w:r>
          </w:p>
        </w:tc>
        <w:tc>
          <w:tcPr>
            <w:tcW w:w="1091" w:type="dxa"/>
            <w:vAlign w:val="center"/>
          </w:tcPr>
          <w:p w14:paraId="6511A22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3C2C51B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0C675B2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7D356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7E5413C0">
            <w:pPr>
              <w:jc w:val="center"/>
              <w:rPr>
                <w:rFonts w:hint="default" w:ascii="Times New Roman" w:hAnsi="Times New Roman" w:eastAsia="微软雅黑" w:cs="Times New Roman"/>
                <w:i w:val="0"/>
                <w:iCs w:val="0"/>
                <w:color w:val="auto"/>
                <w:kern w:val="0"/>
                <w:sz w:val="20"/>
                <w:szCs w:val="21"/>
                <w:highlight w:val="none"/>
                <w:u w:val="none"/>
                <w:lang w:val="en-US" w:eastAsia="zh-CN" w:bidi="ar"/>
              </w:rPr>
            </w:pPr>
            <w:bookmarkStart w:id="21" w:name="_Toc30455"/>
          </w:p>
        </w:tc>
        <w:tc>
          <w:tcPr>
            <w:tcW w:w="1118" w:type="dxa"/>
            <w:vAlign w:val="center"/>
          </w:tcPr>
          <w:p w14:paraId="42DA206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大石桥村</w:t>
            </w:r>
          </w:p>
        </w:tc>
        <w:tc>
          <w:tcPr>
            <w:tcW w:w="945" w:type="dxa"/>
            <w:vAlign w:val="center"/>
          </w:tcPr>
          <w:p w14:paraId="1C4F6C8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3888.73</w:t>
            </w:r>
          </w:p>
        </w:tc>
        <w:tc>
          <w:tcPr>
            <w:tcW w:w="1064" w:type="dxa"/>
            <w:vAlign w:val="center"/>
          </w:tcPr>
          <w:p w14:paraId="357A3EC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11822</w:t>
            </w:r>
          </w:p>
        </w:tc>
        <w:tc>
          <w:tcPr>
            <w:tcW w:w="1073" w:type="dxa"/>
            <w:vAlign w:val="center"/>
          </w:tcPr>
          <w:p w14:paraId="2B4AC2F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452</w:t>
            </w:r>
          </w:p>
        </w:tc>
        <w:tc>
          <w:tcPr>
            <w:tcW w:w="1227" w:type="dxa"/>
            <w:vAlign w:val="center"/>
          </w:tcPr>
          <w:p w14:paraId="038B0C3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3.82%</w:t>
            </w:r>
          </w:p>
        </w:tc>
        <w:tc>
          <w:tcPr>
            <w:tcW w:w="1091" w:type="dxa"/>
            <w:vAlign w:val="center"/>
          </w:tcPr>
          <w:p w14:paraId="7927555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499262E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6A666DF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4D5C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18F67307">
            <w:pPr>
              <w:jc w:val="center"/>
              <w:rPr>
                <w:rFonts w:hint="default" w:ascii="Times New Roman" w:hAnsi="Times New Roman" w:eastAsia="微软雅黑" w:cs="Times New Roman"/>
                <w:i w:val="0"/>
                <w:iCs w:val="0"/>
                <w:color w:val="auto"/>
                <w:kern w:val="0"/>
                <w:sz w:val="20"/>
                <w:szCs w:val="21"/>
                <w:highlight w:val="none"/>
                <w:u w:val="none"/>
                <w:lang w:val="en-US" w:eastAsia="zh-CN" w:bidi="ar"/>
              </w:rPr>
            </w:pPr>
          </w:p>
        </w:tc>
        <w:tc>
          <w:tcPr>
            <w:tcW w:w="1118" w:type="dxa"/>
            <w:vAlign w:val="center"/>
          </w:tcPr>
          <w:p w14:paraId="302336B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定惠村</w:t>
            </w:r>
          </w:p>
        </w:tc>
        <w:tc>
          <w:tcPr>
            <w:tcW w:w="945" w:type="dxa"/>
            <w:vAlign w:val="center"/>
          </w:tcPr>
          <w:p w14:paraId="59DDBD9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3102.69</w:t>
            </w:r>
          </w:p>
        </w:tc>
        <w:tc>
          <w:tcPr>
            <w:tcW w:w="1064" w:type="dxa"/>
            <w:vAlign w:val="center"/>
          </w:tcPr>
          <w:p w14:paraId="30550B4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9432</w:t>
            </w:r>
          </w:p>
        </w:tc>
        <w:tc>
          <w:tcPr>
            <w:tcW w:w="1073" w:type="dxa"/>
            <w:vAlign w:val="center"/>
          </w:tcPr>
          <w:p w14:paraId="52CBFFC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17058</w:t>
            </w:r>
          </w:p>
        </w:tc>
        <w:tc>
          <w:tcPr>
            <w:tcW w:w="1227" w:type="dxa"/>
            <w:vAlign w:val="center"/>
          </w:tcPr>
          <w:p w14:paraId="31532E4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180.85%</w:t>
            </w:r>
          </w:p>
        </w:tc>
        <w:tc>
          <w:tcPr>
            <w:tcW w:w="1091" w:type="dxa"/>
            <w:vAlign w:val="center"/>
          </w:tcPr>
          <w:p w14:paraId="23BBA49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严重超载</w:t>
            </w:r>
          </w:p>
        </w:tc>
        <w:tc>
          <w:tcPr>
            <w:tcW w:w="964" w:type="dxa"/>
            <w:vAlign w:val="center"/>
          </w:tcPr>
          <w:p w14:paraId="5587722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2E5664A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6F91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4F84930E">
            <w:pPr>
              <w:jc w:val="center"/>
              <w:rPr>
                <w:rFonts w:hint="default" w:ascii="Times New Roman" w:hAnsi="Times New Roman" w:eastAsia="微软雅黑" w:cs="Times New Roman"/>
                <w:i w:val="0"/>
                <w:iCs w:val="0"/>
                <w:color w:val="auto"/>
                <w:kern w:val="0"/>
                <w:sz w:val="20"/>
                <w:szCs w:val="21"/>
                <w:highlight w:val="none"/>
                <w:u w:val="none"/>
                <w:lang w:val="en-US" w:eastAsia="zh-CN" w:bidi="ar"/>
              </w:rPr>
            </w:pPr>
          </w:p>
        </w:tc>
        <w:tc>
          <w:tcPr>
            <w:tcW w:w="1118" w:type="dxa"/>
            <w:vAlign w:val="center"/>
          </w:tcPr>
          <w:p w14:paraId="60B1609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新兴村</w:t>
            </w:r>
          </w:p>
        </w:tc>
        <w:tc>
          <w:tcPr>
            <w:tcW w:w="945" w:type="dxa"/>
            <w:vAlign w:val="center"/>
          </w:tcPr>
          <w:p w14:paraId="31D939D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2327.83</w:t>
            </w:r>
          </w:p>
        </w:tc>
        <w:tc>
          <w:tcPr>
            <w:tcW w:w="1064" w:type="dxa"/>
            <w:vAlign w:val="center"/>
          </w:tcPr>
          <w:p w14:paraId="7C947B0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7077</w:t>
            </w:r>
          </w:p>
        </w:tc>
        <w:tc>
          <w:tcPr>
            <w:tcW w:w="1073" w:type="dxa"/>
            <w:vAlign w:val="center"/>
          </w:tcPr>
          <w:p w14:paraId="488C688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5024</w:t>
            </w:r>
          </w:p>
        </w:tc>
        <w:tc>
          <w:tcPr>
            <w:tcW w:w="1227" w:type="dxa"/>
            <w:vAlign w:val="center"/>
          </w:tcPr>
          <w:p w14:paraId="3461998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71.00%</w:t>
            </w:r>
          </w:p>
        </w:tc>
        <w:tc>
          <w:tcPr>
            <w:tcW w:w="1091" w:type="dxa"/>
            <w:vAlign w:val="center"/>
          </w:tcPr>
          <w:p w14:paraId="35C520F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存在超载风险</w:t>
            </w:r>
          </w:p>
        </w:tc>
        <w:tc>
          <w:tcPr>
            <w:tcW w:w="964" w:type="dxa"/>
            <w:vAlign w:val="center"/>
          </w:tcPr>
          <w:p w14:paraId="7E001C7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378FAAE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16C1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6AB206C7">
            <w:pPr>
              <w:jc w:val="center"/>
              <w:rPr>
                <w:rFonts w:hint="default" w:ascii="Times New Roman" w:hAnsi="Times New Roman" w:eastAsia="微软雅黑" w:cs="Times New Roman"/>
                <w:i w:val="0"/>
                <w:iCs w:val="0"/>
                <w:color w:val="auto"/>
                <w:kern w:val="0"/>
                <w:sz w:val="20"/>
                <w:szCs w:val="21"/>
                <w:highlight w:val="none"/>
                <w:u w:val="none"/>
                <w:lang w:val="en-US" w:eastAsia="zh-CN" w:bidi="ar"/>
              </w:rPr>
            </w:pPr>
          </w:p>
        </w:tc>
        <w:tc>
          <w:tcPr>
            <w:tcW w:w="1118" w:type="dxa"/>
            <w:vAlign w:val="center"/>
          </w:tcPr>
          <w:p w14:paraId="39A1767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青峰村</w:t>
            </w:r>
          </w:p>
        </w:tc>
        <w:tc>
          <w:tcPr>
            <w:tcW w:w="945" w:type="dxa"/>
            <w:vAlign w:val="center"/>
          </w:tcPr>
          <w:p w14:paraId="00DEEC7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3822.04</w:t>
            </w:r>
          </w:p>
        </w:tc>
        <w:tc>
          <w:tcPr>
            <w:tcW w:w="1064" w:type="dxa"/>
            <w:vAlign w:val="center"/>
          </w:tcPr>
          <w:p w14:paraId="5AD0FE2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11619</w:t>
            </w:r>
          </w:p>
        </w:tc>
        <w:tc>
          <w:tcPr>
            <w:tcW w:w="1073" w:type="dxa"/>
            <w:vAlign w:val="center"/>
          </w:tcPr>
          <w:p w14:paraId="156899D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11436</w:t>
            </w:r>
          </w:p>
        </w:tc>
        <w:tc>
          <w:tcPr>
            <w:tcW w:w="1227" w:type="dxa"/>
            <w:vAlign w:val="center"/>
          </w:tcPr>
          <w:p w14:paraId="51F23E9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98.43%</w:t>
            </w:r>
          </w:p>
        </w:tc>
        <w:tc>
          <w:tcPr>
            <w:tcW w:w="1091" w:type="dxa"/>
            <w:vAlign w:val="center"/>
          </w:tcPr>
          <w:p w14:paraId="092E317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严重超载</w:t>
            </w:r>
          </w:p>
        </w:tc>
        <w:tc>
          <w:tcPr>
            <w:tcW w:w="964" w:type="dxa"/>
            <w:vAlign w:val="center"/>
          </w:tcPr>
          <w:p w14:paraId="19EB967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2185BFB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3ECE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vMerge w:val="restart"/>
            <w:vAlign w:val="center"/>
          </w:tcPr>
          <w:p w14:paraId="2A14B7E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r>
              <w:rPr>
                <w:rFonts w:hint="default" w:ascii="Times New Roman" w:hAnsi="Times New Roman" w:eastAsia="仿宋" w:cs="Times New Roman"/>
                <w:i w:val="0"/>
                <w:iCs w:val="0"/>
                <w:color w:val="000000"/>
                <w:kern w:val="0"/>
                <w:sz w:val="21"/>
                <w:szCs w:val="21"/>
                <w:highlight w:val="none"/>
                <w:u w:val="none"/>
                <w:lang w:val="en-US" w:eastAsia="zh-CN" w:bidi="ar"/>
              </w:rPr>
              <w:t>木城镇</w:t>
            </w:r>
          </w:p>
        </w:tc>
        <w:tc>
          <w:tcPr>
            <w:tcW w:w="1118" w:type="dxa"/>
            <w:vAlign w:val="center"/>
          </w:tcPr>
          <w:p w14:paraId="60115F1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五里社区</w:t>
            </w:r>
          </w:p>
        </w:tc>
        <w:tc>
          <w:tcPr>
            <w:tcW w:w="945" w:type="dxa"/>
            <w:vAlign w:val="center"/>
          </w:tcPr>
          <w:p w14:paraId="23482CC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2102.63</w:t>
            </w:r>
          </w:p>
        </w:tc>
        <w:tc>
          <w:tcPr>
            <w:tcW w:w="1064" w:type="dxa"/>
            <w:vAlign w:val="center"/>
          </w:tcPr>
          <w:p w14:paraId="2C8C2DE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6392</w:t>
            </w:r>
          </w:p>
        </w:tc>
        <w:tc>
          <w:tcPr>
            <w:tcW w:w="1073" w:type="dxa"/>
            <w:vAlign w:val="center"/>
          </w:tcPr>
          <w:p w14:paraId="33DA5B8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1089</w:t>
            </w:r>
          </w:p>
        </w:tc>
        <w:tc>
          <w:tcPr>
            <w:tcW w:w="1227" w:type="dxa"/>
            <w:vAlign w:val="center"/>
          </w:tcPr>
          <w:p w14:paraId="60190E1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17.03%</w:t>
            </w:r>
          </w:p>
        </w:tc>
        <w:tc>
          <w:tcPr>
            <w:tcW w:w="1091" w:type="dxa"/>
            <w:vAlign w:val="center"/>
          </w:tcPr>
          <w:p w14:paraId="4E415DB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4140D4B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是（城镇开发边界）</w:t>
            </w:r>
          </w:p>
        </w:tc>
        <w:tc>
          <w:tcPr>
            <w:tcW w:w="1014" w:type="dxa"/>
            <w:vAlign w:val="center"/>
          </w:tcPr>
          <w:p w14:paraId="7E55D16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4C21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5B2ABB7B">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6AB280A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兰坝社区</w:t>
            </w:r>
          </w:p>
        </w:tc>
        <w:tc>
          <w:tcPr>
            <w:tcW w:w="945" w:type="dxa"/>
            <w:vAlign w:val="center"/>
          </w:tcPr>
          <w:p w14:paraId="1D5E4DB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2909.82</w:t>
            </w:r>
          </w:p>
        </w:tc>
        <w:tc>
          <w:tcPr>
            <w:tcW w:w="1064" w:type="dxa"/>
            <w:vAlign w:val="center"/>
          </w:tcPr>
          <w:p w14:paraId="0A91EF5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8846</w:t>
            </w:r>
          </w:p>
        </w:tc>
        <w:tc>
          <w:tcPr>
            <w:tcW w:w="1073" w:type="dxa"/>
            <w:vAlign w:val="center"/>
          </w:tcPr>
          <w:p w14:paraId="5EA9FD5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1193</w:t>
            </w:r>
          </w:p>
        </w:tc>
        <w:tc>
          <w:tcPr>
            <w:tcW w:w="1227" w:type="dxa"/>
            <w:vAlign w:val="center"/>
          </w:tcPr>
          <w:p w14:paraId="690F926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13.49%</w:t>
            </w:r>
          </w:p>
        </w:tc>
        <w:tc>
          <w:tcPr>
            <w:tcW w:w="1091" w:type="dxa"/>
            <w:vAlign w:val="center"/>
          </w:tcPr>
          <w:p w14:paraId="505926F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3475E6E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47161A7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06DC0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31122F9D">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613BCA8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修文村</w:t>
            </w:r>
          </w:p>
        </w:tc>
        <w:tc>
          <w:tcPr>
            <w:tcW w:w="945" w:type="dxa"/>
            <w:vAlign w:val="center"/>
          </w:tcPr>
          <w:p w14:paraId="4697C52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250.89</w:t>
            </w:r>
          </w:p>
        </w:tc>
        <w:tc>
          <w:tcPr>
            <w:tcW w:w="1064" w:type="dxa"/>
            <w:vAlign w:val="center"/>
          </w:tcPr>
          <w:p w14:paraId="215A88B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763</w:t>
            </w:r>
          </w:p>
        </w:tc>
        <w:tc>
          <w:tcPr>
            <w:tcW w:w="1073" w:type="dxa"/>
            <w:vAlign w:val="center"/>
          </w:tcPr>
          <w:p w14:paraId="08684FA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1178</w:t>
            </w:r>
          </w:p>
        </w:tc>
        <w:tc>
          <w:tcPr>
            <w:tcW w:w="1227" w:type="dxa"/>
            <w:vAlign w:val="center"/>
          </w:tcPr>
          <w:p w14:paraId="72F14F2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154.46%</w:t>
            </w:r>
          </w:p>
        </w:tc>
        <w:tc>
          <w:tcPr>
            <w:tcW w:w="1091" w:type="dxa"/>
            <w:vAlign w:val="center"/>
          </w:tcPr>
          <w:p w14:paraId="23450A4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严重超载</w:t>
            </w:r>
          </w:p>
        </w:tc>
        <w:tc>
          <w:tcPr>
            <w:tcW w:w="964" w:type="dxa"/>
            <w:vAlign w:val="center"/>
          </w:tcPr>
          <w:p w14:paraId="17C6B67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0E5D551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6D24A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66CE9EE4">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5353B3F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迎江村</w:t>
            </w:r>
          </w:p>
        </w:tc>
        <w:tc>
          <w:tcPr>
            <w:tcW w:w="945" w:type="dxa"/>
            <w:vAlign w:val="center"/>
          </w:tcPr>
          <w:p w14:paraId="270773F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2530.16</w:t>
            </w:r>
          </w:p>
        </w:tc>
        <w:tc>
          <w:tcPr>
            <w:tcW w:w="1064" w:type="dxa"/>
            <w:vAlign w:val="center"/>
          </w:tcPr>
          <w:p w14:paraId="4EA7466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7692</w:t>
            </w:r>
          </w:p>
        </w:tc>
        <w:tc>
          <w:tcPr>
            <w:tcW w:w="1073" w:type="dxa"/>
            <w:vAlign w:val="center"/>
          </w:tcPr>
          <w:p w14:paraId="3036AB8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29090</w:t>
            </w:r>
          </w:p>
        </w:tc>
        <w:tc>
          <w:tcPr>
            <w:tcW w:w="1227" w:type="dxa"/>
            <w:vAlign w:val="center"/>
          </w:tcPr>
          <w:p w14:paraId="21D6E0F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378.20%</w:t>
            </w:r>
          </w:p>
        </w:tc>
        <w:tc>
          <w:tcPr>
            <w:tcW w:w="1091" w:type="dxa"/>
            <w:vAlign w:val="center"/>
          </w:tcPr>
          <w:p w14:paraId="06A7313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严重超载</w:t>
            </w:r>
          </w:p>
        </w:tc>
        <w:tc>
          <w:tcPr>
            <w:tcW w:w="964" w:type="dxa"/>
            <w:vAlign w:val="center"/>
          </w:tcPr>
          <w:p w14:paraId="5554747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25EF7C7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29B20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0935DD45">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2BC7713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泉水村</w:t>
            </w:r>
          </w:p>
        </w:tc>
        <w:tc>
          <w:tcPr>
            <w:tcW w:w="945" w:type="dxa"/>
            <w:vAlign w:val="center"/>
          </w:tcPr>
          <w:p w14:paraId="7B70653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1499.22</w:t>
            </w:r>
          </w:p>
        </w:tc>
        <w:tc>
          <w:tcPr>
            <w:tcW w:w="1064" w:type="dxa"/>
            <w:vAlign w:val="center"/>
          </w:tcPr>
          <w:p w14:paraId="4338FB4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4558</w:t>
            </w:r>
          </w:p>
        </w:tc>
        <w:tc>
          <w:tcPr>
            <w:tcW w:w="1073" w:type="dxa"/>
            <w:vAlign w:val="center"/>
          </w:tcPr>
          <w:p w14:paraId="42D4FC7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3172</w:t>
            </w:r>
          </w:p>
        </w:tc>
        <w:tc>
          <w:tcPr>
            <w:tcW w:w="1227" w:type="dxa"/>
            <w:vAlign w:val="center"/>
          </w:tcPr>
          <w:p w14:paraId="13B5E64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69.59%</w:t>
            </w:r>
          </w:p>
        </w:tc>
        <w:tc>
          <w:tcPr>
            <w:tcW w:w="1091" w:type="dxa"/>
            <w:vAlign w:val="center"/>
          </w:tcPr>
          <w:p w14:paraId="6EA228B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存在超载风险</w:t>
            </w:r>
          </w:p>
        </w:tc>
        <w:tc>
          <w:tcPr>
            <w:tcW w:w="964" w:type="dxa"/>
            <w:vAlign w:val="center"/>
          </w:tcPr>
          <w:p w14:paraId="57D4080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4503A7F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28A7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05BA9CBC">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11E75D3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太平村</w:t>
            </w:r>
          </w:p>
        </w:tc>
        <w:tc>
          <w:tcPr>
            <w:tcW w:w="945" w:type="dxa"/>
            <w:vAlign w:val="center"/>
          </w:tcPr>
          <w:p w14:paraId="3E49B28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2603.19</w:t>
            </w:r>
          </w:p>
        </w:tc>
        <w:tc>
          <w:tcPr>
            <w:tcW w:w="1064" w:type="dxa"/>
            <w:vAlign w:val="center"/>
          </w:tcPr>
          <w:p w14:paraId="0D2AF4E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7914</w:t>
            </w:r>
          </w:p>
        </w:tc>
        <w:tc>
          <w:tcPr>
            <w:tcW w:w="1073" w:type="dxa"/>
            <w:vAlign w:val="center"/>
          </w:tcPr>
          <w:p w14:paraId="15828FE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2053</w:t>
            </w:r>
          </w:p>
        </w:tc>
        <w:tc>
          <w:tcPr>
            <w:tcW w:w="1227" w:type="dxa"/>
            <w:vAlign w:val="center"/>
          </w:tcPr>
          <w:p w14:paraId="16411DC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25.95%</w:t>
            </w:r>
          </w:p>
        </w:tc>
        <w:tc>
          <w:tcPr>
            <w:tcW w:w="1091" w:type="dxa"/>
            <w:vAlign w:val="center"/>
          </w:tcPr>
          <w:p w14:paraId="541D786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7616A0B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4116431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2711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363E8A3D">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6844321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五显岗村</w:t>
            </w:r>
          </w:p>
        </w:tc>
        <w:tc>
          <w:tcPr>
            <w:tcW w:w="945" w:type="dxa"/>
            <w:vAlign w:val="center"/>
          </w:tcPr>
          <w:p w14:paraId="51D7A70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244.70</w:t>
            </w:r>
          </w:p>
        </w:tc>
        <w:tc>
          <w:tcPr>
            <w:tcW w:w="1064" w:type="dxa"/>
            <w:vAlign w:val="center"/>
          </w:tcPr>
          <w:p w14:paraId="5B1C45C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744</w:t>
            </w:r>
          </w:p>
        </w:tc>
        <w:tc>
          <w:tcPr>
            <w:tcW w:w="1073" w:type="dxa"/>
            <w:vAlign w:val="center"/>
          </w:tcPr>
          <w:p w14:paraId="2EFBA97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1678</w:t>
            </w:r>
          </w:p>
        </w:tc>
        <w:tc>
          <w:tcPr>
            <w:tcW w:w="1227" w:type="dxa"/>
            <w:vAlign w:val="center"/>
          </w:tcPr>
          <w:p w14:paraId="22E5FD5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225.58%</w:t>
            </w:r>
          </w:p>
        </w:tc>
        <w:tc>
          <w:tcPr>
            <w:tcW w:w="1091" w:type="dxa"/>
            <w:vAlign w:val="center"/>
          </w:tcPr>
          <w:p w14:paraId="4B87BF0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严重超载</w:t>
            </w:r>
          </w:p>
        </w:tc>
        <w:tc>
          <w:tcPr>
            <w:tcW w:w="964" w:type="dxa"/>
            <w:vAlign w:val="center"/>
          </w:tcPr>
          <w:p w14:paraId="75BAE39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59AA938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3973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03588B7B">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67D3FA1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白果村</w:t>
            </w:r>
          </w:p>
        </w:tc>
        <w:tc>
          <w:tcPr>
            <w:tcW w:w="945" w:type="dxa"/>
            <w:vAlign w:val="center"/>
          </w:tcPr>
          <w:p w14:paraId="75537D1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1846.11</w:t>
            </w:r>
          </w:p>
        </w:tc>
        <w:tc>
          <w:tcPr>
            <w:tcW w:w="1064" w:type="dxa"/>
            <w:vAlign w:val="center"/>
          </w:tcPr>
          <w:p w14:paraId="3751C8F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5612</w:t>
            </w:r>
          </w:p>
        </w:tc>
        <w:tc>
          <w:tcPr>
            <w:tcW w:w="1073" w:type="dxa"/>
            <w:vAlign w:val="center"/>
          </w:tcPr>
          <w:p w14:paraId="50FF82A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800</w:t>
            </w:r>
          </w:p>
        </w:tc>
        <w:tc>
          <w:tcPr>
            <w:tcW w:w="1227" w:type="dxa"/>
            <w:vAlign w:val="center"/>
          </w:tcPr>
          <w:p w14:paraId="39CB9B1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14.25%</w:t>
            </w:r>
          </w:p>
        </w:tc>
        <w:tc>
          <w:tcPr>
            <w:tcW w:w="1091" w:type="dxa"/>
            <w:vAlign w:val="center"/>
          </w:tcPr>
          <w:p w14:paraId="7C83F1D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3047DB4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51A79DF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312D9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2024E79B">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75561DA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大旗村</w:t>
            </w:r>
          </w:p>
        </w:tc>
        <w:tc>
          <w:tcPr>
            <w:tcW w:w="945" w:type="dxa"/>
            <w:vAlign w:val="center"/>
          </w:tcPr>
          <w:p w14:paraId="3E245EE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189.81</w:t>
            </w:r>
          </w:p>
        </w:tc>
        <w:tc>
          <w:tcPr>
            <w:tcW w:w="1064" w:type="dxa"/>
            <w:vAlign w:val="center"/>
          </w:tcPr>
          <w:p w14:paraId="1A56104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577</w:t>
            </w:r>
          </w:p>
        </w:tc>
        <w:tc>
          <w:tcPr>
            <w:tcW w:w="1073" w:type="dxa"/>
            <w:vAlign w:val="center"/>
          </w:tcPr>
          <w:p w14:paraId="1E95FB0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461</w:t>
            </w:r>
          </w:p>
        </w:tc>
        <w:tc>
          <w:tcPr>
            <w:tcW w:w="1227" w:type="dxa"/>
            <w:vAlign w:val="center"/>
          </w:tcPr>
          <w:p w14:paraId="0BADC47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79.87%</w:t>
            </w:r>
          </w:p>
        </w:tc>
        <w:tc>
          <w:tcPr>
            <w:tcW w:w="1091" w:type="dxa"/>
            <w:vAlign w:val="center"/>
          </w:tcPr>
          <w:p w14:paraId="464C4AF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存在超载风险</w:t>
            </w:r>
          </w:p>
        </w:tc>
        <w:tc>
          <w:tcPr>
            <w:tcW w:w="964" w:type="dxa"/>
            <w:vAlign w:val="center"/>
          </w:tcPr>
          <w:p w14:paraId="34C037F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2D2888C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7F354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27240AAD">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7275F46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永兴村</w:t>
            </w:r>
          </w:p>
        </w:tc>
        <w:tc>
          <w:tcPr>
            <w:tcW w:w="945" w:type="dxa"/>
            <w:vAlign w:val="center"/>
          </w:tcPr>
          <w:p w14:paraId="7AC85D9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319.78</w:t>
            </w:r>
          </w:p>
        </w:tc>
        <w:tc>
          <w:tcPr>
            <w:tcW w:w="1064" w:type="dxa"/>
            <w:vAlign w:val="center"/>
          </w:tcPr>
          <w:p w14:paraId="516B71D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972</w:t>
            </w:r>
          </w:p>
        </w:tc>
        <w:tc>
          <w:tcPr>
            <w:tcW w:w="1073" w:type="dxa"/>
            <w:vAlign w:val="center"/>
          </w:tcPr>
          <w:p w14:paraId="4DB575B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1175</w:t>
            </w:r>
          </w:p>
        </w:tc>
        <w:tc>
          <w:tcPr>
            <w:tcW w:w="1227" w:type="dxa"/>
            <w:vAlign w:val="center"/>
          </w:tcPr>
          <w:p w14:paraId="02C485F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120.90%</w:t>
            </w:r>
          </w:p>
        </w:tc>
        <w:tc>
          <w:tcPr>
            <w:tcW w:w="1091" w:type="dxa"/>
            <w:vAlign w:val="center"/>
          </w:tcPr>
          <w:p w14:paraId="0F44D42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严重超载</w:t>
            </w:r>
          </w:p>
        </w:tc>
        <w:tc>
          <w:tcPr>
            <w:tcW w:w="964" w:type="dxa"/>
            <w:vAlign w:val="center"/>
          </w:tcPr>
          <w:p w14:paraId="2E05328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63BEA76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5EC7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1880F164">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38065AD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石香村</w:t>
            </w:r>
          </w:p>
        </w:tc>
        <w:tc>
          <w:tcPr>
            <w:tcW w:w="945" w:type="dxa"/>
            <w:vAlign w:val="center"/>
          </w:tcPr>
          <w:p w14:paraId="6FE3DC9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2929.21</w:t>
            </w:r>
          </w:p>
        </w:tc>
        <w:tc>
          <w:tcPr>
            <w:tcW w:w="1064" w:type="dxa"/>
            <w:vAlign w:val="center"/>
          </w:tcPr>
          <w:p w14:paraId="42CD7B5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8905</w:t>
            </w:r>
          </w:p>
        </w:tc>
        <w:tc>
          <w:tcPr>
            <w:tcW w:w="1073" w:type="dxa"/>
            <w:vAlign w:val="center"/>
          </w:tcPr>
          <w:p w14:paraId="64D3D50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26691</w:t>
            </w:r>
          </w:p>
        </w:tc>
        <w:tc>
          <w:tcPr>
            <w:tcW w:w="1227" w:type="dxa"/>
            <w:vAlign w:val="center"/>
          </w:tcPr>
          <w:p w14:paraId="469B6A2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299.74%</w:t>
            </w:r>
          </w:p>
        </w:tc>
        <w:tc>
          <w:tcPr>
            <w:tcW w:w="1091" w:type="dxa"/>
            <w:vAlign w:val="center"/>
          </w:tcPr>
          <w:p w14:paraId="66CE1C2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严重超载</w:t>
            </w:r>
          </w:p>
        </w:tc>
        <w:tc>
          <w:tcPr>
            <w:tcW w:w="964" w:type="dxa"/>
            <w:vAlign w:val="center"/>
          </w:tcPr>
          <w:p w14:paraId="24741B9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60156E6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59DE1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38E414BA">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752FB7A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联兴村</w:t>
            </w:r>
          </w:p>
        </w:tc>
        <w:tc>
          <w:tcPr>
            <w:tcW w:w="945" w:type="dxa"/>
            <w:vAlign w:val="center"/>
          </w:tcPr>
          <w:p w14:paraId="5545DF9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4061.61</w:t>
            </w:r>
          </w:p>
        </w:tc>
        <w:tc>
          <w:tcPr>
            <w:tcW w:w="1064" w:type="dxa"/>
            <w:vAlign w:val="center"/>
          </w:tcPr>
          <w:p w14:paraId="71AB465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12347</w:t>
            </w:r>
          </w:p>
        </w:tc>
        <w:tc>
          <w:tcPr>
            <w:tcW w:w="1073" w:type="dxa"/>
            <w:vAlign w:val="center"/>
          </w:tcPr>
          <w:p w14:paraId="60CBF49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1714</w:t>
            </w:r>
          </w:p>
        </w:tc>
        <w:tc>
          <w:tcPr>
            <w:tcW w:w="1227" w:type="dxa"/>
            <w:vAlign w:val="center"/>
          </w:tcPr>
          <w:p w14:paraId="5ECA117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13.88%</w:t>
            </w:r>
          </w:p>
        </w:tc>
        <w:tc>
          <w:tcPr>
            <w:tcW w:w="1091" w:type="dxa"/>
            <w:vAlign w:val="center"/>
          </w:tcPr>
          <w:p w14:paraId="08BD689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15E22F0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6704537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2BAD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7E51DCED">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12710AD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群星村</w:t>
            </w:r>
          </w:p>
        </w:tc>
        <w:tc>
          <w:tcPr>
            <w:tcW w:w="945" w:type="dxa"/>
            <w:vAlign w:val="center"/>
          </w:tcPr>
          <w:p w14:paraId="3E39238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2821.33</w:t>
            </w:r>
          </w:p>
        </w:tc>
        <w:tc>
          <w:tcPr>
            <w:tcW w:w="1064" w:type="dxa"/>
            <w:vAlign w:val="center"/>
          </w:tcPr>
          <w:p w14:paraId="66D39EC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8577</w:t>
            </w:r>
          </w:p>
        </w:tc>
        <w:tc>
          <w:tcPr>
            <w:tcW w:w="1073" w:type="dxa"/>
            <w:vAlign w:val="center"/>
          </w:tcPr>
          <w:p w14:paraId="084B567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6597</w:t>
            </w:r>
          </w:p>
        </w:tc>
        <w:tc>
          <w:tcPr>
            <w:tcW w:w="1227" w:type="dxa"/>
            <w:vAlign w:val="center"/>
          </w:tcPr>
          <w:p w14:paraId="7829366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76.92%</w:t>
            </w:r>
          </w:p>
        </w:tc>
        <w:tc>
          <w:tcPr>
            <w:tcW w:w="1091" w:type="dxa"/>
            <w:vAlign w:val="center"/>
          </w:tcPr>
          <w:p w14:paraId="2256F0E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存在超载风险</w:t>
            </w:r>
          </w:p>
        </w:tc>
        <w:tc>
          <w:tcPr>
            <w:tcW w:w="964" w:type="dxa"/>
            <w:vAlign w:val="center"/>
          </w:tcPr>
          <w:p w14:paraId="083DDF5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1724239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126CB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50F0FE3F">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642925F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友谊村</w:t>
            </w:r>
          </w:p>
        </w:tc>
        <w:tc>
          <w:tcPr>
            <w:tcW w:w="945" w:type="dxa"/>
            <w:vAlign w:val="center"/>
          </w:tcPr>
          <w:p w14:paraId="4297884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38.77</w:t>
            </w:r>
          </w:p>
        </w:tc>
        <w:tc>
          <w:tcPr>
            <w:tcW w:w="1064" w:type="dxa"/>
            <w:vAlign w:val="center"/>
          </w:tcPr>
          <w:p w14:paraId="339D39A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118</w:t>
            </w:r>
          </w:p>
        </w:tc>
        <w:tc>
          <w:tcPr>
            <w:tcW w:w="1073" w:type="dxa"/>
            <w:vAlign w:val="center"/>
          </w:tcPr>
          <w:p w14:paraId="04AFD32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576</w:t>
            </w:r>
          </w:p>
        </w:tc>
        <w:tc>
          <w:tcPr>
            <w:tcW w:w="1227" w:type="dxa"/>
            <w:vAlign w:val="center"/>
          </w:tcPr>
          <w:p w14:paraId="39B9498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488.24%</w:t>
            </w:r>
          </w:p>
        </w:tc>
        <w:tc>
          <w:tcPr>
            <w:tcW w:w="1091" w:type="dxa"/>
            <w:vAlign w:val="center"/>
          </w:tcPr>
          <w:p w14:paraId="67C0FBC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严重超载</w:t>
            </w:r>
          </w:p>
        </w:tc>
        <w:tc>
          <w:tcPr>
            <w:tcW w:w="964" w:type="dxa"/>
            <w:vAlign w:val="center"/>
          </w:tcPr>
          <w:p w14:paraId="3BE6A8F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36487D6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4CDA4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restart"/>
            <w:vAlign w:val="center"/>
          </w:tcPr>
          <w:p w14:paraId="4A0D37A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r>
              <w:rPr>
                <w:rFonts w:hint="default" w:ascii="Times New Roman" w:hAnsi="Times New Roman" w:eastAsia="仿宋" w:cs="Times New Roman"/>
                <w:i w:val="0"/>
                <w:iCs w:val="0"/>
                <w:color w:val="000000"/>
                <w:kern w:val="0"/>
                <w:sz w:val="21"/>
                <w:szCs w:val="21"/>
                <w:highlight w:val="none"/>
                <w:u w:val="none"/>
                <w:lang w:val="en-US" w:eastAsia="zh-CN" w:bidi="ar"/>
              </w:rPr>
              <w:t>吴场镇</w:t>
            </w:r>
          </w:p>
        </w:tc>
        <w:tc>
          <w:tcPr>
            <w:tcW w:w="1118" w:type="dxa"/>
            <w:vAlign w:val="center"/>
          </w:tcPr>
          <w:p w14:paraId="6BF67B8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金柏林社区</w:t>
            </w:r>
          </w:p>
        </w:tc>
        <w:tc>
          <w:tcPr>
            <w:tcW w:w="945" w:type="dxa"/>
            <w:vAlign w:val="center"/>
          </w:tcPr>
          <w:p w14:paraId="618FA5C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5770.08</w:t>
            </w:r>
          </w:p>
        </w:tc>
        <w:tc>
          <w:tcPr>
            <w:tcW w:w="1064" w:type="dxa"/>
            <w:vAlign w:val="center"/>
          </w:tcPr>
          <w:p w14:paraId="7BB2EDB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17541</w:t>
            </w:r>
          </w:p>
        </w:tc>
        <w:tc>
          <w:tcPr>
            <w:tcW w:w="1073" w:type="dxa"/>
            <w:vAlign w:val="center"/>
          </w:tcPr>
          <w:p w14:paraId="4C2DAB3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534</w:t>
            </w:r>
          </w:p>
        </w:tc>
        <w:tc>
          <w:tcPr>
            <w:tcW w:w="1227" w:type="dxa"/>
            <w:vAlign w:val="center"/>
          </w:tcPr>
          <w:p w14:paraId="58C3384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3.04%</w:t>
            </w:r>
          </w:p>
        </w:tc>
        <w:tc>
          <w:tcPr>
            <w:tcW w:w="1091" w:type="dxa"/>
            <w:vAlign w:val="center"/>
          </w:tcPr>
          <w:p w14:paraId="14591FF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65C924C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288793B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2A95C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0D7A77FD">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79F4BFE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丰收村</w:t>
            </w:r>
          </w:p>
        </w:tc>
        <w:tc>
          <w:tcPr>
            <w:tcW w:w="945" w:type="dxa"/>
            <w:vAlign w:val="center"/>
          </w:tcPr>
          <w:p w14:paraId="240887B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3291.43</w:t>
            </w:r>
          </w:p>
        </w:tc>
        <w:tc>
          <w:tcPr>
            <w:tcW w:w="1064" w:type="dxa"/>
            <w:vAlign w:val="center"/>
          </w:tcPr>
          <w:p w14:paraId="15CA906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10006</w:t>
            </w:r>
          </w:p>
        </w:tc>
        <w:tc>
          <w:tcPr>
            <w:tcW w:w="1073" w:type="dxa"/>
            <w:vAlign w:val="center"/>
          </w:tcPr>
          <w:p w14:paraId="770DA6F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35137</w:t>
            </w:r>
          </w:p>
        </w:tc>
        <w:tc>
          <w:tcPr>
            <w:tcW w:w="1227" w:type="dxa"/>
            <w:vAlign w:val="center"/>
          </w:tcPr>
          <w:p w14:paraId="3A84E58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351.16%</w:t>
            </w:r>
          </w:p>
        </w:tc>
        <w:tc>
          <w:tcPr>
            <w:tcW w:w="1091" w:type="dxa"/>
            <w:vAlign w:val="center"/>
          </w:tcPr>
          <w:p w14:paraId="14E1CA3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严重超载</w:t>
            </w:r>
          </w:p>
        </w:tc>
        <w:tc>
          <w:tcPr>
            <w:tcW w:w="964" w:type="dxa"/>
            <w:vAlign w:val="center"/>
          </w:tcPr>
          <w:p w14:paraId="5B847CA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042C8A4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38DA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3B949367">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3ABE6A7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光荣村</w:t>
            </w:r>
          </w:p>
        </w:tc>
        <w:tc>
          <w:tcPr>
            <w:tcW w:w="945" w:type="dxa"/>
            <w:vAlign w:val="center"/>
          </w:tcPr>
          <w:p w14:paraId="540AEC6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2200.88</w:t>
            </w:r>
          </w:p>
        </w:tc>
        <w:tc>
          <w:tcPr>
            <w:tcW w:w="1064" w:type="dxa"/>
            <w:vAlign w:val="center"/>
          </w:tcPr>
          <w:p w14:paraId="3C71A5D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6691</w:t>
            </w:r>
          </w:p>
        </w:tc>
        <w:tc>
          <w:tcPr>
            <w:tcW w:w="1073" w:type="dxa"/>
            <w:vAlign w:val="center"/>
          </w:tcPr>
          <w:p w14:paraId="469DB60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237</w:t>
            </w:r>
          </w:p>
        </w:tc>
        <w:tc>
          <w:tcPr>
            <w:tcW w:w="1227" w:type="dxa"/>
            <w:vAlign w:val="center"/>
          </w:tcPr>
          <w:p w14:paraId="3C105FD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3.54%</w:t>
            </w:r>
          </w:p>
        </w:tc>
        <w:tc>
          <w:tcPr>
            <w:tcW w:w="1091" w:type="dxa"/>
            <w:vAlign w:val="center"/>
          </w:tcPr>
          <w:p w14:paraId="01C21E9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6E0304D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681BFA1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068DC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04FAD67A">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36C51F8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龙华村</w:t>
            </w:r>
          </w:p>
        </w:tc>
        <w:tc>
          <w:tcPr>
            <w:tcW w:w="945" w:type="dxa"/>
            <w:vAlign w:val="center"/>
          </w:tcPr>
          <w:p w14:paraId="466DEB8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2163.98</w:t>
            </w:r>
          </w:p>
        </w:tc>
        <w:tc>
          <w:tcPr>
            <w:tcW w:w="1064" w:type="dxa"/>
            <w:vAlign w:val="center"/>
          </w:tcPr>
          <w:p w14:paraId="06BD148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6579</w:t>
            </w:r>
          </w:p>
        </w:tc>
        <w:tc>
          <w:tcPr>
            <w:tcW w:w="1073" w:type="dxa"/>
            <w:vAlign w:val="center"/>
          </w:tcPr>
          <w:p w14:paraId="0A3290C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154</w:t>
            </w:r>
          </w:p>
        </w:tc>
        <w:tc>
          <w:tcPr>
            <w:tcW w:w="1227" w:type="dxa"/>
            <w:vAlign w:val="center"/>
          </w:tcPr>
          <w:p w14:paraId="364F095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2.34%</w:t>
            </w:r>
          </w:p>
        </w:tc>
        <w:tc>
          <w:tcPr>
            <w:tcW w:w="1091" w:type="dxa"/>
            <w:vAlign w:val="center"/>
          </w:tcPr>
          <w:p w14:paraId="33FF604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53CEC68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7610C3F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38B3E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5F5BD426">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63BC792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白龙村</w:t>
            </w:r>
          </w:p>
        </w:tc>
        <w:tc>
          <w:tcPr>
            <w:tcW w:w="945" w:type="dxa"/>
            <w:vAlign w:val="center"/>
          </w:tcPr>
          <w:p w14:paraId="078A7E0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2366.35</w:t>
            </w:r>
          </w:p>
        </w:tc>
        <w:tc>
          <w:tcPr>
            <w:tcW w:w="1064" w:type="dxa"/>
            <w:vAlign w:val="center"/>
          </w:tcPr>
          <w:p w14:paraId="60C79B4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7194</w:t>
            </w:r>
          </w:p>
        </w:tc>
        <w:tc>
          <w:tcPr>
            <w:tcW w:w="1073" w:type="dxa"/>
            <w:vAlign w:val="center"/>
          </w:tcPr>
          <w:p w14:paraId="54A22CF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416</w:t>
            </w:r>
          </w:p>
        </w:tc>
        <w:tc>
          <w:tcPr>
            <w:tcW w:w="1227" w:type="dxa"/>
            <w:vAlign w:val="center"/>
          </w:tcPr>
          <w:p w14:paraId="7455BB4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5.78%</w:t>
            </w:r>
          </w:p>
        </w:tc>
        <w:tc>
          <w:tcPr>
            <w:tcW w:w="1091" w:type="dxa"/>
            <w:vAlign w:val="center"/>
          </w:tcPr>
          <w:p w14:paraId="3212319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4DBB118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020D4EF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1CA7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3B34C3EA">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47DE016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光辉村</w:t>
            </w:r>
          </w:p>
        </w:tc>
        <w:tc>
          <w:tcPr>
            <w:tcW w:w="945" w:type="dxa"/>
            <w:vAlign w:val="center"/>
          </w:tcPr>
          <w:p w14:paraId="5F48130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3562.11</w:t>
            </w:r>
          </w:p>
        </w:tc>
        <w:tc>
          <w:tcPr>
            <w:tcW w:w="1064" w:type="dxa"/>
            <w:vAlign w:val="center"/>
          </w:tcPr>
          <w:p w14:paraId="31F97C1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10829</w:t>
            </w:r>
          </w:p>
        </w:tc>
        <w:tc>
          <w:tcPr>
            <w:tcW w:w="1073" w:type="dxa"/>
            <w:vAlign w:val="center"/>
          </w:tcPr>
          <w:p w14:paraId="52635D7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434</w:t>
            </w:r>
          </w:p>
        </w:tc>
        <w:tc>
          <w:tcPr>
            <w:tcW w:w="1227" w:type="dxa"/>
            <w:vAlign w:val="center"/>
          </w:tcPr>
          <w:p w14:paraId="3EFFC86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4.00%</w:t>
            </w:r>
          </w:p>
        </w:tc>
        <w:tc>
          <w:tcPr>
            <w:tcW w:w="1091" w:type="dxa"/>
            <w:vAlign w:val="center"/>
          </w:tcPr>
          <w:p w14:paraId="6238D65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6441FC0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20DC112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6619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2D67BF23">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3F9A6CA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仁和村</w:t>
            </w:r>
          </w:p>
        </w:tc>
        <w:tc>
          <w:tcPr>
            <w:tcW w:w="945" w:type="dxa"/>
            <w:vAlign w:val="center"/>
          </w:tcPr>
          <w:p w14:paraId="1E5EA5C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2442.28</w:t>
            </w:r>
          </w:p>
        </w:tc>
        <w:tc>
          <w:tcPr>
            <w:tcW w:w="1064" w:type="dxa"/>
            <w:vAlign w:val="center"/>
          </w:tcPr>
          <w:p w14:paraId="1087539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7425</w:t>
            </w:r>
          </w:p>
        </w:tc>
        <w:tc>
          <w:tcPr>
            <w:tcW w:w="1073" w:type="dxa"/>
            <w:vAlign w:val="center"/>
          </w:tcPr>
          <w:p w14:paraId="10DA617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7237</w:t>
            </w:r>
          </w:p>
        </w:tc>
        <w:tc>
          <w:tcPr>
            <w:tcW w:w="1227" w:type="dxa"/>
            <w:vAlign w:val="center"/>
          </w:tcPr>
          <w:p w14:paraId="66C7783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97.47%</w:t>
            </w:r>
          </w:p>
        </w:tc>
        <w:tc>
          <w:tcPr>
            <w:tcW w:w="1091" w:type="dxa"/>
            <w:vAlign w:val="center"/>
          </w:tcPr>
          <w:p w14:paraId="2FB2494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严重超载</w:t>
            </w:r>
          </w:p>
        </w:tc>
        <w:tc>
          <w:tcPr>
            <w:tcW w:w="964" w:type="dxa"/>
            <w:vAlign w:val="center"/>
          </w:tcPr>
          <w:p w14:paraId="08D4A57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7A68D6E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749B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7E1D1B8F">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3E4EBD5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建川村</w:t>
            </w:r>
          </w:p>
        </w:tc>
        <w:tc>
          <w:tcPr>
            <w:tcW w:w="945" w:type="dxa"/>
            <w:vAlign w:val="center"/>
          </w:tcPr>
          <w:p w14:paraId="693B1C7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3344.37</w:t>
            </w:r>
          </w:p>
        </w:tc>
        <w:tc>
          <w:tcPr>
            <w:tcW w:w="1064" w:type="dxa"/>
            <w:vAlign w:val="center"/>
          </w:tcPr>
          <w:p w14:paraId="56F2B8B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10167</w:t>
            </w:r>
          </w:p>
        </w:tc>
        <w:tc>
          <w:tcPr>
            <w:tcW w:w="1073" w:type="dxa"/>
            <w:vAlign w:val="center"/>
          </w:tcPr>
          <w:p w14:paraId="739A1EF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1765</w:t>
            </w:r>
          </w:p>
        </w:tc>
        <w:tc>
          <w:tcPr>
            <w:tcW w:w="1227" w:type="dxa"/>
            <w:vAlign w:val="center"/>
          </w:tcPr>
          <w:p w14:paraId="032AA7D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17.36%</w:t>
            </w:r>
          </w:p>
        </w:tc>
        <w:tc>
          <w:tcPr>
            <w:tcW w:w="1091" w:type="dxa"/>
            <w:vAlign w:val="center"/>
          </w:tcPr>
          <w:p w14:paraId="57A4511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59E25DD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2A26987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2A4D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2FE6D738">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6AA787E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新合村</w:t>
            </w:r>
          </w:p>
        </w:tc>
        <w:tc>
          <w:tcPr>
            <w:tcW w:w="945" w:type="dxa"/>
            <w:vAlign w:val="center"/>
          </w:tcPr>
          <w:p w14:paraId="1880325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2268.36</w:t>
            </w:r>
          </w:p>
        </w:tc>
        <w:tc>
          <w:tcPr>
            <w:tcW w:w="1064" w:type="dxa"/>
            <w:vAlign w:val="center"/>
          </w:tcPr>
          <w:p w14:paraId="3986929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6896</w:t>
            </w:r>
          </w:p>
        </w:tc>
        <w:tc>
          <w:tcPr>
            <w:tcW w:w="1073" w:type="dxa"/>
            <w:vAlign w:val="center"/>
          </w:tcPr>
          <w:p w14:paraId="366C384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52812</w:t>
            </w:r>
          </w:p>
        </w:tc>
        <w:tc>
          <w:tcPr>
            <w:tcW w:w="1227" w:type="dxa"/>
            <w:vAlign w:val="center"/>
          </w:tcPr>
          <w:p w14:paraId="446118A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765.86%</w:t>
            </w:r>
          </w:p>
        </w:tc>
        <w:tc>
          <w:tcPr>
            <w:tcW w:w="1091" w:type="dxa"/>
            <w:vAlign w:val="center"/>
          </w:tcPr>
          <w:p w14:paraId="2D2B63D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严重超载</w:t>
            </w:r>
          </w:p>
        </w:tc>
        <w:tc>
          <w:tcPr>
            <w:tcW w:w="964" w:type="dxa"/>
            <w:vAlign w:val="center"/>
          </w:tcPr>
          <w:p w14:paraId="4DCE951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55F7F6E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039F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4EA69C3C">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762E4F4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百茶村</w:t>
            </w:r>
          </w:p>
        </w:tc>
        <w:tc>
          <w:tcPr>
            <w:tcW w:w="945" w:type="dxa"/>
            <w:vAlign w:val="center"/>
          </w:tcPr>
          <w:p w14:paraId="045E092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3534.47</w:t>
            </w:r>
          </w:p>
        </w:tc>
        <w:tc>
          <w:tcPr>
            <w:tcW w:w="1064" w:type="dxa"/>
            <w:vAlign w:val="center"/>
          </w:tcPr>
          <w:p w14:paraId="36817CC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10745</w:t>
            </w:r>
          </w:p>
        </w:tc>
        <w:tc>
          <w:tcPr>
            <w:tcW w:w="1073" w:type="dxa"/>
            <w:vAlign w:val="center"/>
          </w:tcPr>
          <w:p w14:paraId="7895ACC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83583</w:t>
            </w:r>
          </w:p>
        </w:tc>
        <w:tc>
          <w:tcPr>
            <w:tcW w:w="1227" w:type="dxa"/>
            <w:vAlign w:val="center"/>
          </w:tcPr>
          <w:p w14:paraId="27BF978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777.89%</w:t>
            </w:r>
          </w:p>
        </w:tc>
        <w:tc>
          <w:tcPr>
            <w:tcW w:w="1091" w:type="dxa"/>
            <w:vAlign w:val="center"/>
          </w:tcPr>
          <w:p w14:paraId="46F9356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严重超载</w:t>
            </w:r>
          </w:p>
        </w:tc>
        <w:tc>
          <w:tcPr>
            <w:tcW w:w="964" w:type="dxa"/>
            <w:vAlign w:val="center"/>
          </w:tcPr>
          <w:p w14:paraId="63CB3FC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3C646F7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4038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7064B9AA">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5136708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三管村</w:t>
            </w:r>
          </w:p>
        </w:tc>
        <w:tc>
          <w:tcPr>
            <w:tcW w:w="945" w:type="dxa"/>
            <w:vAlign w:val="center"/>
          </w:tcPr>
          <w:p w14:paraId="670DB27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4514.28</w:t>
            </w:r>
          </w:p>
        </w:tc>
        <w:tc>
          <w:tcPr>
            <w:tcW w:w="1064" w:type="dxa"/>
            <w:vAlign w:val="center"/>
          </w:tcPr>
          <w:p w14:paraId="1726025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13723</w:t>
            </w:r>
          </w:p>
        </w:tc>
        <w:tc>
          <w:tcPr>
            <w:tcW w:w="1073" w:type="dxa"/>
            <w:vAlign w:val="center"/>
          </w:tcPr>
          <w:p w14:paraId="5BA3BFE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15897</w:t>
            </w:r>
          </w:p>
        </w:tc>
        <w:tc>
          <w:tcPr>
            <w:tcW w:w="1227" w:type="dxa"/>
            <w:vAlign w:val="center"/>
          </w:tcPr>
          <w:p w14:paraId="79776DB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115.84%</w:t>
            </w:r>
          </w:p>
        </w:tc>
        <w:tc>
          <w:tcPr>
            <w:tcW w:w="1091" w:type="dxa"/>
            <w:vAlign w:val="center"/>
          </w:tcPr>
          <w:p w14:paraId="63D38DC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严重超载</w:t>
            </w:r>
          </w:p>
        </w:tc>
        <w:tc>
          <w:tcPr>
            <w:tcW w:w="964" w:type="dxa"/>
            <w:vAlign w:val="center"/>
          </w:tcPr>
          <w:p w14:paraId="7602A88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40AEAF4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1571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4E4759BF">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57E790D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三洞桥社区</w:t>
            </w:r>
          </w:p>
        </w:tc>
        <w:tc>
          <w:tcPr>
            <w:tcW w:w="945" w:type="dxa"/>
            <w:vAlign w:val="center"/>
          </w:tcPr>
          <w:p w14:paraId="0ED71D7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2637.64</w:t>
            </w:r>
          </w:p>
        </w:tc>
        <w:tc>
          <w:tcPr>
            <w:tcW w:w="1064" w:type="dxa"/>
            <w:vAlign w:val="center"/>
          </w:tcPr>
          <w:p w14:paraId="59E6358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8018</w:t>
            </w:r>
          </w:p>
        </w:tc>
        <w:tc>
          <w:tcPr>
            <w:tcW w:w="1073" w:type="dxa"/>
            <w:vAlign w:val="center"/>
          </w:tcPr>
          <w:p w14:paraId="029A68F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1212</w:t>
            </w:r>
          </w:p>
        </w:tc>
        <w:tc>
          <w:tcPr>
            <w:tcW w:w="1227" w:type="dxa"/>
            <w:vAlign w:val="center"/>
          </w:tcPr>
          <w:p w14:paraId="1F8A2B2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15.12%</w:t>
            </w:r>
          </w:p>
        </w:tc>
        <w:tc>
          <w:tcPr>
            <w:tcW w:w="1091" w:type="dxa"/>
            <w:vAlign w:val="center"/>
          </w:tcPr>
          <w:p w14:paraId="647C9CD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6614B58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59D2271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251F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restart"/>
            <w:vAlign w:val="center"/>
          </w:tcPr>
          <w:p w14:paraId="13970C3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黄土镇</w:t>
            </w:r>
          </w:p>
        </w:tc>
        <w:tc>
          <w:tcPr>
            <w:tcW w:w="1118" w:type="dxa"/>
            <w:vAlign w:val="center"/>
          </w:tcPr>
          <w:p w14:paraId="2E82F6F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茶坊村</w:t>
            </w:r>
          </w:p>
        </w:tc>
        <w:tc>
          <w:tcPr>
            <w:tcW w:w="945" w:type="dxa"/>
            <w:vAlign w:val="center"/>
          </w:tcPr>
          <w:p w14:paraId="02D0146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6819.21</w:t>
            </w:r>
          </w:p>
        </w:tc>
        <w:tc>
          <w:tcPr>
            <w:tcW w:w="1064" w:type="dxa"/>
            <w:vAlign w:val="center"/>
          </w:tcPr>
          <w:p w14:paraId="31CF040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20730</w:t>
            </w:r>
          </w:p>
        </w:tc>
        <w:tc>
          <w:tcPr>
            <w:tcW w:w="1073" w:type="dxa"/>
            <w:vAlign w:val="center"/>
          </w:tcPr>
          <w:p w14:paraId="002B0E6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15393</w:t>
            </w:r>
          </w:p>
        </w:tc>
        <w:tc>
          <w:tcPr>
            <w:tcW w:w="1227" w:type="dxa"/>
            <w:vAlign w:val="center"/>
          </w:tcPr>
          <w:p w14:paraId="1BBE8F9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74.25%</w:t>
            </w:r>
          </w:p>
        </w:tc>
        <w:tc>
          <w:tcPr>
            <w:tcW w:w="1091" w:type="dxa"/>
            <w:vAlign w:val="center"/>
          </w:tcPr>
          <w:p w14:paraId="37BDD1D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存在超载风险</w:t>
            </w:r>
          </w:p>
        </w:tc>
        <w:tc>
          <w:tcPr>
            <w:tcW w:w="964" w:type="dxa"/>
            <w:vAlign w:val="center"/>
          </w:tcPr>
          <w:p w14:paraId="59EA9AA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21F76A5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615CB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7F1ED15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p>
        </w:tc>
        <w:tc>
          <w:tcPr>
            <w:tcW w:w="1118" w:type="dxa"/>
            <w:vAlign w:val="center"/>
          </w:tcPr>
          <w:p w14:paraId="63FF039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凤桥社区</w:t>
            </w:r>
          </w:p>
        </w:tc>
        <w:tc>
          <w:tcPr>
            <w:tcW w:w="945" w:type="dxa"/>
            <w:vAlign w:val="center"/>
          </w:tcPr>
          <w:p w14:paraId="5DF96EC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2625.52</w:t>
            </w:r>
          </w:p>
        </w:tc>
        <w:tc>
          <w:tcPr>
            <w:tcW w:w="1064" w:type="dxa"/>
            <w:vAlign w:val="center"/>
          </w:tcPr>
          <w:p w14:paraId="3864297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7982</w:t>
            </w:r>
          </w:p>
        </w:tc>
        <w:tc>
          <w:tcPr>
            <w:tcW w:w="1073" w:type="dxa"/>
            <w:vAlign w:val="center"/>
          </w:tcPr>
          <w:p w14:paraId="34EDB4F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13908</w:t>
            </w:r>
          </w:p>
        </w:tc>
        <w:tc>
          <w:tcPr>
            <w:tcW w:w="1227" w:type="dxa"/>
            <w:vAlign w:val="center"/>
          </w:tcPr>
          <w:p w14:paraId="7E6F7A6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174.25%</w:t>
            </w:r>
          </w:p>
        </w:tc>
        <w:tc>
          <w:tcPr>
            <w:tcW w:w="1091" w:type="dxa"/>
            <w:vAlign w:val="center"/>
          </w:tcPr>
          <w:p w14:paraId="6E1B151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严重超载</w:t>
            </w:r>
          </w:p>
        </w:tc>
        <w:tc>
          <w:tcPr>
            <w:tcW w:w="964" w:type="dxa"/>
            <w:vAlign w:val="center"/>
          </w:tcPr>
          <w:p w14:paraId="5355F28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68020D0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48DF1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3DCB5C2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p>
        </w:tc>
        <w:tc>
          <w:tcPr>
            <w:tcW w:w="1118" w:type="dxa"/>
            <w:vAlign w:val="center"/>
          </w:tcPr>
          <w:p w14:paraId="1E1886C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红光村</w:t>
            </w:r>
          </w:p>
        </w:tc>
        <w:tc>
          <w:tcPr>
            <w:tcW w:w="945" w:type="dxa"/>
            <w:vAlign w:val="center"/>
          </w:tcPr>
          <w:p w14:paraId="1D4F0D1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3749.71</w:t>
            </w:r>
          </w:p>
        </w:tc>
        <w:tc>
          <w:tcPr>
            <w:tcW w:w="1064" w:type="dxa"/>
            <w:vAlign w:val="center"/>
          </w:tcPr>
          <w:p w14:paraId="1AAA885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11399</w:t>
            </w:r>
          </w:p>
        </w:tc>
        <w:tc>
          <w:tcPr>
            <w:tcW w:w="1073" w:type="dxa"/>
            <w:vAlign w:val="center"/>
          </w:tcPr>
          <w:p w14:paraId="07D09F7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511</w:t>
            </w:r>
          </w:p>
        </w:tc>
        <w:tc>
          <w:tcPr>
            <w:tcW w:w="1227" w:type="dxa"/>
            <w:vAlign w:val="center"/>
          </w:tcPr>
          <w:p w14:paraId="394A9CC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4.48%</w:t>
            </w:r>
          </w:p>
        </w:tc>
        <w:tc>
          <w:tcPr>
            <w:tcW w:w="1091" w:type="dxa"/>
            <w:vAlign w:val="center"/>
          </w:tcPr>
          <w:p w14:paraId="4159ED3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190E0CA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73B3416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2151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6EDB665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p>
        </w:tc>
        <w:tc>
          <w:tcPr>
            <w:tcW w:w="1118" w:type="dxa"/>
            <w:vAlign w:val="center"/>
          </w:tcPr>
          <w:p w14:paraId="0619929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黄土社区</w:t>
            </w:r>
          </w:p>
        </w:tc>
        <w:tc>
          <w:tcPr>
            <w:tcW w:w="945" w:type="dxa"/>
            <w:vAlign w:val="center"/>
          </w:tcPr>
          <w:p w14:paraId="094C711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1554.00</w:t>
            </w:r>
          </w:p>
        </w:tc>
        <w:tc>
          <w:tcPr>
            <w:tcW w:w="1064" w:type="dxa"/>
            <w:vAlign w:val="center"/>
          </w:tcPr>
          <w:p w14:paraId="4BE1D7C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4724</w:t>
            </w:r>
          </w:p>
        </w:tc>
        <w:tc>
          <w:tcPr>
            <w:tcW w:w="1073" w:type="dxa"/>
            <w:vAlign w:val="center"/>
          </w:tcPr>
          <w:p w14:paraId="3E3265A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3570</w:t>
            </w:r>
          </w:p>
        </w:tc>
        <w:tc>
          <w:tcPr>
            <w:tcW w:w="1227" w:type="dxa"/>
            <w:vAlign w:val="center"/>
          </w:tcPr>
          <w:p w14:paraId="5E0AE36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75.57%</w:t>
            </w:r>
          </w:p>
        </w:tc>
        <w:tc>
          <w:tcPr>
            <w:tcW w:w="1091" w:type="dxa"/>
            <w:vAlign w:val="center"/>
          </w:tcPr>
          <w:p w14:paraId="4F3C287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存在超载风险</w:t>
            </w:r>
          </w:p>
        </w:tc>
        <w:tc>
          <w:tcPr>
            <w:tcW w:w="964" w:type="dxa"/>
            <w:vAlign w:val="center"/>
          </w:tcPr>
          <w:p w14:paraId="34B22F0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73D8B39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1EBF6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6590624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p>
        </w:tc>
        <w:tc>
          <w:tcPr>
            <w:tcW w:w="1118" w:type="dxa"/>
            <w:vAlign w:val="center"/>
          </w:tcPr>
          <w:p w14:paraId="4E706D2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罗华社区</w:t>
            </w:r>
          </w:p>
        </w:tc>
        <w:tc>
          <w:tcPr>
            <w:tcW w:w="945" w:type="dxa"/>
            <w:vAlign w:val="center"/>
          </w:tcPr>
          <w:p w14:paraId="529B219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2625.81</w:t>
            </w:r>
          </w:p>
        </w:tc>
        <w:tc>
          <w:tcPr>
            <w:tcW w:w="1064" w:type="dxa"/>
            <w:vAlign w:val="center"/>
          </w:tcPr>
          <w:p w14:paraId="3F28972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7982</w:t>
            </w:r>
          </w:p>
        </w:tc>
        <w:tc>
          <w:tcPr>
            <w:tcW w:w="1073" w:type="dxa"/>
            <w:vAlign w:val="center"/>
          </w:tcPr>
          <w:p w14:paraId="48B7787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400</w:t>
            </w:r>
          </w:p>
        </w:tc>
        <w:tc>
          <w:tcPr>
            <w:tcW w:w="1227" w:type="dxa"/>
            <w:vAlign w:val="center"/>
          </w:tcPr>
          <w:p w14:paraId="46C8741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5.01%</w:t>
            </w:r>
          </w:p>
        </w:tc>
        <w:tc>
          <w:tcPr>
            <w:tcW w:w="1091" w:type="dxa"/>
            <w:vAlign w:val="center"/>
          </w:tcPr>
          <w:p w14:paraId="2637685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4B212E5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53FAA5E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20D20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0183A7D6">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2D7D4CD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蟠龙村</w:t>
            </w:r>
          </w:p>
        </w:tc>
        <w:tc>
          <w:tcPr>
            <w:tcW w:w="945" w:type="dxa"/>
            <w:vAlign w:val="center"/>
          </w:tcPr>
          <w:p w14:paraId="0839DDC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3142.44</w:t>
            </w:r>
          </w:p>
        </w:tc>
        <w:tc>
          <w:tcPr>
            <w:tcW w:w="1064" w:type="dxa"/>
            <w:vAlign w:val="center"/>
          </w:tcPr>
          <w:p w14:paraId="31A2DE6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9553</w:t>
            </w:r>
          </w:p>
        </w:tc>
        <w:tc>
          <w:tcPr>
            <w:tcW w:w="1073" w:type="dxa"/>
            <w:vAlign w:val="center"/>
          </w:tcPr>
          <w:p w14:paraId="2B9572A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41754</w:t>
            </w:r>
          </w:p>
        </w:tc>
        <w:tc>
          <w:tcPr>
            <w:tcW w:w="1227" w:type="dxa"/>
            <w:vAlign w:val="center"/>
          </w:tcPr>
          <w:p w14:paraId="17BDD6B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437.08%</w:t>
            </w:r>
          </w:p>
        </w:tc>
        <w:tc>
          <w:tcPr>
            <w:tcW w:w="1091" w:type="dxa"/>
            <w:vAlign w:val="center"/>
          </w:tcPr>
          <w:p w14:paraId="12ACD02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严重超载</w:t>
            </w:r>
          </w:p>
        </w:tc>
        <w:tc>
          <w:tcPr>
            <w:tcW w:w="964" w:type="dxa"/>
            <w:vAlign w:val="center"/>
          </w:tcPr>
          <w:p w14:paraId="37B2194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11C28A2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419E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16427360">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27EA163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万松村</w:t>
            </w:r>
          </w:p>
        </w:tc>
        <w:tc>
          <w:tcPr>
            <w:tcW w:w="945" w:type="dxa"/>
            <w:vAlign w:val="center"/>
          </w:tcPr>
          <w:p w14:paraId="5EBBD21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3698.47</w:t>
            </w:r>
          </w:p>
        </w:tc>
        <w:tc>
          <w:tcPr>
            <w:tcW w:w="1064" w:type="dxa"/>
            <w:vAlign w:val="center"/>
          </w:tcPr>
          <w:p w14:paraId="56D29B3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11243</w:t>
            </w:r>
          </w:p>
        </w:tc>
        <w:tc>
          <w:tcPr>
            <w:tcW w:w="1073" w:type="dxa"/>
            <w:vAlign w:val="center"/>
          </w:tcPr>
          <w:p w14:paraId="147F206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520</w:t>
            </w:r>
          </w:p>
        </w:tc>
        <w:tc>
          <w:tcPr>
            <w:tcW w:w="1227" w:type="dxa"/>
            <w:vAlign w:val="center"/>
          </w:tcPr>
          <w:p w14:paraId="5B961B0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4.63%</w:t>
            </w:r>
          </w:p>
        </w:tc>
        <w:tc>
          <w:tcPr>
            <w:tcW w:w="1091" w:type="dxa"/>
            <w:vAlign w:val="center"/>
          </w:tcPr>
          <w:p w14:paraId="52E5127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21A1BBE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1D5BC53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10632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4750953E">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0735B4E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漹江村</w:t>
            </w:r>
          </w:p>
        </w:tc>
        <w:tc>
          <w:tcPr>
            <w:tcW w:w="945" w:type="dxa"/>
            <w:vAlign w:val="center"/>
          </w:tcPr>
          <w:p w14:paraId="791F472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3438.31</w:t>
            </w:r>
          </w:p>
        </w:tc>
        <w:tc>
          <w:tcPr>
            <w:tcW w:w="1064" w:type="dxa"/>
            <w:vAlign w:val="center"/>
          </w:tcPr>
          <w:p w14:paraId="0BE59C6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10452</w:t>
            </w:r>
          </w:p>
        </w:tc>
        <w:tc>
          <w:tcPr>
            <w:tcW w:w="1073" w:type="dxa"/>
            <w:vAlign w:val="center"/>
          </w:tcPr>
          <w:p w14:paraId="15913F7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1816</w:t>
            </w:r>
          </w:p>
        </w:tc>
        <w:tc>
          <w:tcPr>
            <w:tcW w:w="1227" w:type="dxa"/>
            <w:vAlign w:val="center"/>
          </w:tcPr>
          <w:p w14:paraId="4279DB3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17.37%</w:t>
            </w:r>
          </w:p>
        </w:tc>
        <w:tc>
          <w:tcPr>
            <w:tcW w:w="1091" w:type="dxa"/>
            <w:vAlign w:val="center"/>
          </w:tcPr>
          <w:p w14:paraId="7CB718B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51495FF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43A2875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0E6C1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restart"/>
            <w:vAlign w:val="center"/>
          </w:tcPr>
          <w:p w14:paraId="390A79E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r>
              <w:rPr>
                <w:rFonts w:hint="default" w:ascii="Times New Roman" w:hAnsi="Times New Roman" w:eastAsia="仿宋" w:cs="Times New Roman"/>
                <w:i w:val="0"/>
                <w:iCs w:val="0"/>
                <w:color w:val="000000"/>
                <w:kern w:val="0"/>
                <w:sz w:val="21"/>
                <w:szCs w:val="21"/>
                <w:highlight w:val="none"/>
                <w:u w:val="none"/>
                <w:lang w:val="en-US" w:eastAsia="zh-CN" w:bidi="ar"/>
              </w:rPr>
              <w:t>马村镇</w:t>
            </w:r>
          </w:p>
        </w:tc>
        <w:tc>
          <w:tcPr>
            <w:tcW w:w="1118" w:type="dxa"/>
            <w:vAlign w:val="center"/>
          </w:tcPr>
          <w:p w14:paraId="1BF1012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方沟社区</w:t>
            </w:r>
          </w:p>
        </w:tc>
        <w:tc>
          <w:tcPr>
            <w:tcW w:w="945" w:type="dxa"/>
            <w:vAlign w:val="center"/>
          </w:tcPr>
          <w:p w14:paraId="20B6D48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530.47</w:t>
            </w:r>
          </w:p>
        </w:tc>
        <w:tc>
          <w:tcPr>
            <w:tcW w:w="1064" w:type="dxa"/>
            <w:vAlign w:val="center"/>
          </w:tcPr>
          <w:p w14:paraId="0DB79E5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1613</w:t>
            </w:r>
          </w:p>
        </w:tc>
        <w:tc>
          <w:tcPr>
            <w:tcW w:w="1073" w:type="dxa"/>
            <w:vAlign w:val="center"/>
          </w:tcPr>
          <w:p w14:paraId="7CA4439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625</w:t>
            </w:r>
          </w:p>
        </w:tc>
        <w:tc>
          <w:tcPr>
            <w:tcW w:w="1227" w:type="dxa"/>
            <w:vAlign w:val="center"/>
          </w:tcPr>
          <w:p w14:paraId="3DAA2A7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38.76%</w:t>
            </w:r>
          </w:p>
        </w:tc>
        <w:tc>
          <w:tcPr>
            <w:tcW w:w="1091" w:type="dxa"/>
            <w:vAlign w:val="center"/>
          </w:tcPr>
          <w:p w14:paraId="05D68D0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1A8DE51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5A7D0E3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5709D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364CCF9A">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5A96338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石堰村</w:t>
            </w:r>
          </w:p>
        </w:tc>
        <w:tc>
          <w:tcPr>
            <w:tcW w:w="945" w:type="dxa"/>
            <w:vAlign w:val="center"/>
          </w:tcPr>
          <w:p w14:paraId="41E2BF9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935.87</w:t>
            </w:r>
          </w:p>
        </w:tc>
        <w:tc>
          <w:tcPr>
            <w:tcW w:w="1064" w:type="dxa"/>
            <w:vAlign w:val="center"/>
          </w:tcPr>
          <w:p w14:paraId="3F26A4E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2845</w:t>
            </w:r>
          </w:p>
        </w:tc>
        <w:tc>
          <w:tcPr>
            <w:tcW w:w="1073" w:type="dxa"/>
            <w:vAlign w:val="center"/>
          </w:tcPr>
          <w:p w14:paraId="22F7D16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280</w:t>
            </w:r>
          </w:p>
        </w:tc>
        <w:tc>
          <w:tcPr>
            <w:tcW w:w="1227" w:type="dxa"/>
            <w:vAlign w:val="center"/>
          </w:tcPr>
          <w:p w14:paraId="34300F8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9.83%</w:t>
            </w:r>
          </w:p>
        </w:tc>
        <w:tc>
          <w:tcPr>
            <w:tcW w:w="1091" w:type="dxa"/>
            <w:vAlign w:val="center"/>
          </w:tcPr>
          <w:p w14:paraId="2B4A8F6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766FFD3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0517B48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6918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20016FF5">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009F399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王堰村</w:t>
            </w:r>
          </w:p>
        </w:tc>
        <w:tc>
          <w:tcPr>
            <w:tcW w:w="945" w:type="dxa"/>
            <w:vAlign w:val="center"/>
          </w:tcPr>
          <w:p w14:paraId="55273B2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2294.72</w:t>
            </w:r>
          </w:p>
        </w:tc>
        <w:tc>
          <w:tcPr>
            <w:tcW w:w="1064" w:type="dxa"/>
            <w:vAlign w:val="center"/>
          </w:tcPr>
          <w:p w14:paraId="3797481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6976</w:t>
            </w:r>
          </w:p>
        </w:tc>
        <w:tc>
          <w:tcPr>
            <w:tcW w:w="1073" w:type="dxa"/>
            <w:vAlign w:val="center"/>
          </w:tcPr>
          <w:p w14:paraId="0620CB9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393</w:t>
            </w:r>
          </w:p>
        </w:tc>
        <w:tc>
          <w:tcPr>
            <w:tcW w:w="1227" w:type="dxa"/>
            <w:vAlign w:val="center"/>
          </w:tcPr>
          <w:p w14:paraId="23F7DB9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5.64%</w:t>
            </w:r>
          </w:p>
        </w:tc>
        <w:tc>
          <w:tcPr>
            <w:tcW w:w="1091" w:type="dxa"/>
            <w:vAlign w:val="center"/>
          </w:tcPr>
          <w:p w14:paraId="144C3C2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570CDDB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1EDA208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48A1F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08B3D42B">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46512F5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杨湾村</w:t>
            </w:r>
          </w:p>
        </w:tc>
        <w:tc>
          <w:tcPr>
            <w:tcW w:w="945" w:type="dxa"/>
            <w:vAlign w:val="center"/>
          </w:tcPr>
          <w:p w14:paraId="21A8799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3045.60</w:t>
            </w:r>
          </w:p>
        </w:tc>
        <w:tc>
          <w:tcPr>
            <w:tcW w:w="1064" w:type="dxa"/>
            <w:vAlign w:val="center"/>
          </w:tcPr>
          <w:p w14:paraId="281C436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9259</w:t>
            </w:r>
          </w:p>
        </w:tc>
        <w:tc>
          <w:tcPr>
            <w:tcW w:w="1073" w:type="dxa"/>
            <w:vAlign w:val="center"/>
          </w:tcPr>
          <w:p w14:paraId="1392E5C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316</w:t>
            </w:r>
          </w:p>
        </w:tc>
        <w:tc>
          <w:tcPr>
            <w:tcW w:w="1227" w:type="dxa"/>
            <w:vAlign w:val="center"/>
          </w:tcPr>
          <w:p w14:paraId="3E348CF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3.41%</w:t>
            </w:r>
          </w:p>
        </w:tc>
        <w:tc>
          <w:tcPr>
            <w:tcW w:w="1091" w:type="dxa"/>
            <w:vAlign w:val="center"/>
          </w:tcPr>
          <w:p w14:paraId="0C97E00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41B4CDD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73AD232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2C1B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71ED8003">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026CBE6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水库村</w:t>
            </w:r>
          </w:p>
        </w:tc>
        <w:tc>
          <w:tcPr>
            <w:tcW w:w="945" w:type="dxa"/>
            <w:vAlign w:val="center"/>
          </w:tcPr>
          <w:p w14:paraId="09BF6E2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2472.97</w:t>
            </w:r>
          </w:p>
        </w:tc>
        <w:tc>
          <w:tcPr>
            <w:tcW w:w="1064" w:type="dxa"/>
            <w:vAlign w:val="center"/>
          </w:tcPr>
          <w:p w14:paraId="29831FB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7518</w:t>
            </w:r>
          </w:p>
        </w:tc>
        <w:tc>
          <w:tcPr>
            <w:tcW w:w="1073" w:type="dxa"/>
            <w:vAlign w:val="center"/>
          </w:tcPr>
          <w:p w14:paraId="04D7F79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6665</w:t>
            </w:r>
          </w:p>
        </w:tc>
        <w:tc>
          <w:tcPr>
            <w:tcW w:w="1227" w:type="dxa"/>
            <w:vAlign w:val="center"/>
          </w:tcPr>
          <w:p w14:paraId="69A6242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88.65%</w:t>
            </w:r>
          </w:p>
        </w:tc>
        <w:tc>
          <w:tcPr>
            <w:tcW w:w="1091" w:type="dxa"/>
            <w:vAlign w:val="center"/>
          </w:tcPr>
          <w:p w14:paraId="1241AE9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严重超载</w:t>
            </w:r>
          </w:p>
        </w:tc>
        <w:tc>
          <w:tcPr>
            <w:tcW w:w="964" w:type="dxa"/>
            <w:vAlign w:val="center"/>
          </w:tcPr>
          <w:p w14:paraId="6A63CFE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5E01813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49687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10A02A40">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3C28AD8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带河村</w:t>
            </w:r>
          </w:p>
        </w:tc>
        <w:tc>
          <w:tcPr>
            <w:tcW w:w="945" w:type="dxa"/>
            <w:vAlign w:val="center"/>
          </w:tcPr>
          <w:p w14:paraId="5C0320F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2665.58</w:t>
            </w:r>
          </w:p>
        </w:tc>
        <w:tc>
          <w:tcPr>
            <w:tcW w:w="1064" w:type="dxa"/>
            <w:vAlign w:val="center"/>
          </w:tcPr>
          <w:p w14:paraId="759EA15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8103</w:t>
            </w:r>
          </w:p>
        </w:tc>
        <w:tc>
          <w:tcPr>
            <w:tcW w:w="1073" w:type="dxa"/>
            <w:vAlign w:val="center"/>
          </w:tcPr>
          <w:p w14:paraId="61C58E1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1439</w:t>
            </w:r>
          </w:p>
        </w:tc>
        <w:tc>
          <w:tcPr>
            <w:tcW w:w="1227" w:type="dxa"/>
            <w:vAlign w:val="center"/>
          </w:tcPr>
          <w:p w14:paraId="4EF7047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17.75%</w:t>
            </w:r>
          </w:p>
        </w:tc>
        <w:tc>
          <w:tcPr>
            <w:tcW w:w="1091" w:type="dxa"/>
            <w:vAlign w:val="center"/>
          </w:tcPr>
          <w:p w14:paraId="00B8229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054651F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1F7EF98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5996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3BEFEFB3">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63874EF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碧山村</w:t>
            </w:r>
          </w:p>
        </w:tc>
        <w:tc>
          <w:tcPr>
            <w:tcW w:w="945" w:type="dxa"/>
            <w:vAlign w:val="center"/>
          </w:tcPr>
          <w:p w14:paraId="2DBBA5F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1471.55</w:t>
            </w:r>
          </w:p>
        </w:tc>
        <w:tc>
          <w:tcPr>
            <w:tcW w:w="1064" w:type="dxa"/>
            <w:vAlign w:val="center"/>
          </w:tcPr>
          <w:p w14:paraId="2A5989F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4474</w:t>
            </w:r>
          </w:p>
        </w:tc>
        <w:tc>
          <w:tcPr>
            <w:tcW w:w="1073" w:type="dxa"/>
            <w:vAlign w:val="center"/>
          </w:tcPr>
          <w:p w14:paraId="2807C8B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226</w:t>
            </w:r>
          </w:p>
        </w:tc>
        <w:tc>
          <w:tcPr>
            <w:tcW w:w="1227" w:type="dxa"/>
            <w:vAlign w:val="center"/>
          </w:tcPr>
          <w:p w14:paraId="59C22CF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5.04%</w:t>
            </w:r>
          </w:p>
        </w:tc>
        <w:tc>
          <w:tcPr>
            <w:tcW w:w="1091" w:type="dxa"/>
            <w:vAlign w:val="center"/>
          </w:tcPr>
          <w:p w14:paraId="5DB39E4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36C9A60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02C2C38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0EAF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05915B88">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7297A02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大路社区</w:t>
            </w:r>
          </w:p>
        </w:tc>
        <w:tc>
          <w:tcPr>
            <w:tcW w:w="945" w:type="dxa"/>
            <w:vAlign w:val="center"/>
          </w:tcPr>
          <w:p w14:paraId="0424FBE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3451.97</w:t>
            </w:r>
          </w:p>
        </w:tc>
        <w:tc>
          <w:tcPr>
            <w:tcW w:w="1064" w:type="dxa"/>
            <w:vAlign w:val="center"/>
          </w:tcPr>
          <w:p w14:paraId="4A3660E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10494</w:t>
            </w:r>
          </w:p>
        </w:tc>
        <w:tc>
          <w:tcPr>
            <w:tcW w:w="1073" w:type="dxa"/>
            <w:vAlign w:val="center"/>
          </w:tcPr>
          <w:p w14:paraId="08C1EA8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1496</w:t>
            </w:r>
          </w:p>
        </w:tc>
        <w:tc>
          <w:tcPr>
            <w:tcW w:w="1227" w:type="dxa"/>
            <w:vAlign w:val="center"/>
          </w:tcPr>
          <w:p w14:paraId="13642C9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14.25%</w:t>
            </w:r>
          </w:p>
        </w:tc>
        <w:tc>
          <w:tcPr>
            <w:tcW w:w="1091" w:type="dxa"/>
            <w:vAlign w:val="center"/>
          </w:tcPr>
          <w:p w14:paraId="781C9FE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0C5EDA7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3148547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3126C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599B76F3">
            <w:pPr>
              <w:jc w:val="center"/>
              <w:rPr>
                <w:rFonts w:hint="default" w:ascii="Times New Roman" w:hAnsi="Times New Roman" w:eastAsia="微软雅黑" w:cs="Times New Roman"/>
                <w:i w:val="0"/>
                <w:iCs w:val="0"/>
                <w:color w:val="auto"/>
                <w:kern w:val="0"/>
                <w:sz w:val="20"/>
                <w:szCs w:val="21"/>
                <w:highlight w:val="none"/>
                <w:u w:val="none"/>
                <w:lang w:val="en-US" w:eastAsia="zh-CN" w:bidi="ar"/>
                <w:woUserID w:val="3"/>
              </w:rPr>
            </w:pPr>
          </w:p>
        </w:tc>
        <w:tc>
          <w:tcPr>
            <w:tcW w:w="1118" w:type="dxa"/>
            <w:vAlign w:val="center"/>
          </w:tcPr>
          <w:p w14:paraId="3DD1679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龚沟村</w:t>
            </w:r>
          </w:p>
        </w:tc>
        <w:tc>
          <w:tcPr>
            <w:tcW w:w="945" w:type="dxa"/>
            <w:vAlign w:val="center"/>
          </w:tcPr>
          <w:p w14:paraId="6D63D04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4716.22</w:t>
            </w:r>
          </w:p>
        </w:tc>
        <w:tc>
          <w:tcPr>
            <w:tcW w:w="1064" w:type="dxa"/>
            <w:vAlign w:val="center"/>
          </w:tcPr>
          <w:p w14:paraId="22CCD0C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14337</w:t>
            </w:r>
          </w:p>
        </w:tc>
        <w:tc>
          <w:tcPr>
            <w:tcW w:w="1073" w:type="dxa"/>
            <w:vAlign w:val="center"/>
          </w:tcPr>
          <w:p w14:paraId="3A81B4F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1353</w:t>
            </w:r>
          </w:p>
        </w:tc>
        <w:tc>
          <w:tcPr>
            <w:tcW w:w="1227" w:type="dxa"/>
            <w:vAlign w:val="center"/>
          </w:tcPr>
          <w:p w14:paraId="02CDCAF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9.43%</w:t>
            </w:r>
          </w:p>
        </w:tc>
        <w:tc>
          <w:tcPr>
            <w:tcW w:w="1091" w:type="dxa"/>
            <w:vAlign w:val="center"/>
          </w:tcPr>
          <w:p w14:paraId="7B301F3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4F2D6FB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2E23840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3A12B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restart"/>
            <w:vAlign w:val="center"/>
          </w:tcPr>
          <w:p w14:paraId="64A5380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微软雅黑" w:cs="Times New Roman"/>
                <w:i w:val="0"/>
                <w:iCs w:val="0"/>
                <w:color w:val="auto"/>
                <w:kern w:val="0"/>
                <w:sz w:val="20"/>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华头镇</w:t>
            </w:r>
          </w:p>
        </w:tc>
        <w:tc>
          <w:tcPr>
            <w:tcW w:w="1118" w:type="dxa"/>
            <w:vAlign w:val="center"/>
          </w:tcPr>
          <w:p w14:paraId="5D605E2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川溪社区</w:t>
            </w:r>
          </w:p>
        </w:tc>
        <w:tc>
          <w:tcPr>
            <w:tcW w:w="945" w:type="dxa"/>
            <w:vAlign w:val="center"/>
          </w:tcPr>
          <w:p w14:paraId="3FAB77A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545.62</w:t>
            </w:r>
          </w:p>
        </w:tc>
        <w:tc>
          <w:tcPr>
            <w:tcW w:w="1064" w:type="dxa"/>
            <w:vAlign w:val="center"/>
          </w:tcPr>
          <w:p w14:paraId="5433D70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1659</w:t>
            </w:r>
          </w:p>
        </w:tc>
        <w:tc>
          <w:tcPr>
            <w:tcW w:w="1073" w:type="dxa"/>
            <w:vAlign w:val="center"/>
          </w:tcPr>
          <w:p w14:paraId="0149BB4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113</w:t>
            </w:r>
          </w:p>
        </w:tc>
        <w:tc>
          <w:tcPr>
            <w:tcW w:w="1227" w:type="dxa"/>
            <w:vAlign w:val="center"/>
          </w:tcPr>
          <w:p w14:paraId="6472C8C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6.82%</w:t>
            </w:r>
          </w:p>
        </w:tc>
        <w:tc>
          <w:tcPr>
            <w:tcW w:w="1091" w:type="dxa"/>
            <w:vAlign w:val="center"/>
          </w:tcPr>
          <w:p w14:paraId="37FB182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3637DA6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1E46A74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6FD7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5E12DB3F">
            <w:pPr>
              <w:jc w:val="center"/>
              <w:rPr>
                <w:rFonts w:hint="default" w:ascii="Times New Roman" w:hAnsi="Times New Roman" w:eastAsia="微软雅黑" w:cs="Times New Roman"/>
                <w:i w:val="0"/>
                <w:iCs w:val="0"/>
                <w:color w:val="auto"/>
                <w:kern w:val="0"/>
                <w:sz w:val="20"/>
                <w:szCs w:val="21"/>
                <w:highlight w:val="none"/>
                <w:u w:val="none"/>
                <w:lang w:val="en-US" w:eastAsia="zh-CN" w:bidi="ar"/>
              </w:rPr>
            </w:pPr>
          </w:p>
        </w:tc>
        <w:tc>
          <w:tcPr>
            <w:tcW w:w="1118" w:type="dxa"/>
            <w:vAlign w:val="center"/>
          </w:tcPr>
          <w:p w14:paraId="2ADA992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余湾社区</w:t>
            </w:r>
          </w:p>
        </w:tc>
        <w:tc>
          <w:tcPr>
            <w:tcW w:w="945" w:type="dxa"/>
            <w:vAlign w:val="center"/>
          </w:tcPr>
          <w:p w14:paraId="746A5E8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2066.18</w:t>
            </w:r>
          </w:p>
        </w:tc>
        <w:tc>
          <w:tcPr>
            <w:tcW w:w="1064" w:type="dxa"/>
            <w:vAlign w:val="center"/>
          </w:tcPr>
          <w:p w14:paraId="200F383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6281</w:t>
            </w:r>
          </w:p>
        </w:tc>
        <w:tc>
          <w:tcPr>
            <w:tcW w:w="1073" w:type="dxa"/>
            <w:vAlign w:val="center"/>
          </w:tcPr>
          <w:p w14:paraId="6765343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309</w:t>
            </w:r>
          </w:p>
        </w:tc>
        <w:tc>
          <w:tcPr>
            <w:tcW w:w="1227" w:type="dxa"/>
            <w:vAlign w:val="center"/>
          </w:tcPr>
          <w:p w14:paraId="6FF761E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4.93%</w:t>
            </w:r>
          </w:p>
        </w:tc>
        <w:tc>
          <w:tcPr>
            <w:tcW w:w="1091" w:type="dxa"/>
            <w:vAlign w:val="center"/>
          </w:tcPr>
          <w:p w14:paraId="6603877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0EE2F13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3E6974E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739F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6E81BBCF">
            <w:pPr>
              <w:jc w:val="center"/>
              <w:rPr>
                <w:rFonts w:hint="default" w:ascii="Times New Roman" w:hAnsi="Times New Roman" w:eastAsia="微软雅黑" w:cs="Times New Roman"/>
                <w:i w:val="0"/>
                <w:iCs w:val="0"/>
                <w:color w:val="auto"/>
                <w:kern w:val="0"/>
                <w:sz w:val="20"/>
                <w:szCs w:val="21"/>
                <w:highlight w:val="none"/>
                <w:u w:val="none"/>
                <w:lang w:val="en-US" w:eastAsia="zh-CN" w:bidi="ar"/>
              </w:rPr>
            </w:pPr>
          </w:p>
        </w:tc>
        <w:tc>
          <w:tcPr>
            <w:tcW w:w="1118" w:type="dxa"/>
            <w:vAlign w:val="center"/>
          </w:tcPr>
          <w:p w14:paraId="0B572D2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辕门村</w:t>
            </w:r>
          </w:p>
        </w:tc>
        <w:tc>
          <w:tcPr>
            <w:tcW w:w="945" w:type="dxa"/>
            <w:vAlign w:val="center"/>
          </w:tcPr>
          <w:p w14:paraId="382B505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1484.02</w:t>
            </w:r>
          </w:p>
        </w:tc>
        <w:tc>
          <w:tcPr>
            <w:tcW w:w="1064" w:type="dxa"/>
            <w:vAlign w:val="center"/>
          </w:tcPr>
          <w:p w14:paraId="4A4E36B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4511</w:t>
            </w:r>
          </w:p>
        </w:tc>
        <w:tc>
          <w:tcPr>
            <w:tcW w:w="1073" w:type="dxa"/>
            <w:vAlign w:val="center"/>
          </w:tcPr>
          <w:p w14:paraId="5A36CA3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51</w:t>
            </w:r>
          </w:p>
        </w:tc>
        <w:tc>
          <w:tcPr>
            <w:tcW w:w="1227" w:type="dxa"/>
            <w:vAlign w:val="center"/>
          </w:tcPr>
          <w:p w14:paraId="1F91DA1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1.13%</w:t>
            </w:r>
          </w:p>
        </w:tc>
        <w:tc>
          <w:tcPr>
            <w:tcW w:w="1091" w:type="dxa"/>
            <w:vAlign w:val="center"/>
          </w:tcPr>
          <w:p w14:paraId="007CBA1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378A59D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7BBA8CA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535A5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54FA2D8C">
            <w:pPr>
              <w:jc w:val="center"/>
              <w:rPr>
                <w:rFonts w:hint="default" w:ascii="Times New Roman" w:hAnsi="Times New Roman" w:eastAsia="微软雅黑" w:cs="Times New Roman"/>
                <w:i w:val="0"/>
                <w:iCs w:val="0"/>
                <w:color w:val="auto"/>
                <w:kern w:val="0"/>
                <w:sz w:val="20"/>
                <w:szCs w:val="21"/>
                <w:highlight w:val="none"/>
                <w:u w:val="none"/>
                <w:lang w:val="en-US" w:eastAsia="zh-CN" w:bidi="ar"/>
              </w:rPr>
            </w:pPr>
          </w:p>
        </w:tc>
        <w:tc>
          <w:tcPr>
            <w:tcW w:w="1118" w:type="dxa"/>
            <w:vAlign w:val="center"/>
          </w:tcPr>
          <w:p w14:paraId="74022E9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联合村</w:t>
            </w:r>
          </w:p>
        </w:tc>
        <w:tc>
          <w:tcPr>
            <w:tcW w:w="945" w:type="dxa"/>
            <w:vAlign w:val="center"/>
          </w:tcPr>
          <w:p w14:paraId="34158F7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1457.63</w:t>
            </w:r>
          </w:p>
        </w:tc>
        <w:tc>
          <w:tcPr>
            <w:tcW w:w="1064" w:type="dxa"/>
            <w:vAlign w:val="center"/>
          </w:tcPr>
          <w:p w14:paraId="6527AEA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4431</w:t>
            </w:r>
          </w:p>
        </w:tc>
        <w:tc>
          <w:tcPr>
            <w:tcW w:w="1073" w:type="dxa"/>
            <w:vAlign w:val="center"/>
          </w:tcPr>
          <w:p w14:paraId="095703B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948</w:t>
            </w:r>
          </w:p>
        </w:tc>
        <w:tc>
          <w:tcPr>
            <w:tcW w:w="1227" w:type="dxa"/>
            <w:vAlign w:val="center"/>
          </w:tcPr>
          <w:p w14:paraId="5C6B31F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21.39%</w:t>
            </w:r>
          </w:p>
        </w:tc>
        <w:tc>
          <w:tcPr>
            <w:tcW w:w="1091" w:type="dxa"/>
            <w:vAlign w:val="center"/>
          </w:tcPr>
          <w:p w14:paraId="684885D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7C220BE4">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01D101D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07723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7438D3D6">
            <w:pPr>
              <w:jc w:val="center"/>
              <w:rPr>
                <w:rFonts w:hint="default" w:ascii="Times New Roman" w:hAnsi="Times New Roman" w:eastAsia="微软雅黑" w:cs="Times New Roman"/>
                <w:i w:val="0"/>
                <w:iCs w:val="0"/>
                <w:color w:val="auto"/>
                <w:kern w:val="0"/>
                <w:sz w:val="20"/>
                <w:szCs w:val="21"/>
                <w:highlight w:val="none"/>
                <w:u w:val="none"/>
                <w:lang w:val="en-US" w:eastAsia="zh-CN" w:bidi="ar"/>
              </w:rPr>
            </w:pPr>
          </w:p>
        </w:tc>
        <w:tc>
          <w:tcPr>
            <w:tcW w:w="1118" w:type="dxa"/>
            <w:vAlign w:val="center"/>
          </w:tcPr>
          <w:p w14:paraId="0AFE50D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尖峰村</w:t>
            </w:r>
          </w:p>
        </w:tc>
        <w:tc>
          <w:tcPr>
            <w:tcW w:w="945" w:type="dxa"/>
            <w:vAlign w:val="center"/>
          </w:tcPr>
          <w:p w14:paraId="76CC177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2754.00</w:t>
            </w:r>
          </w:p>
        </w:tc>
        <w:tc>
          <w:tcPr>
            <w:tcW w:w="1064" w:type="dxa"/>
            <w:vAlign w:val="center"/>
          </w:tcPr>
          <w:p w14:paraId="7074F85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8372</w:t>
            </w:r>
          </w:p>
        </w:tc>
        <w:tc>
          <w:tcPr>
            <w:tcW w:w="1073" w:type="dxa"/>
            <w:vAlign w:val="center"/>
          </w:tcPr>
          <w:p w14:paraId="54868F1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824</w:t>
            </w:r>
          </w:p>
        </w:tc>
        <w:tc>
          <w:tcPr>
            <w:tcW w:w="1227" w:type="dxa"/>
            <w:vAlign w:val="center"/>
          </w:tcPr>
          <w:p w14:paraId="7D540E9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9.84%</w:t>
            </w:r>
          </w:p>
        </w:tc>
        <w:tc>
          <w:tcPr>
            <w:tcW w:w="1091" w:type="dxa"/>
            <w:vAlign w:val="center"/>
          </w:tcPr>
          <w:p w14:paraId="7FA2B08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5B429C0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28C0938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34184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20A9C846">
            <w:pPr>
              <w:jc w:val="center"/>
              <w:rPr>
                <w:rFonts w:hint="default" w:ascii="Times New Roman" w:hAnsi="Times New Roman" w:eastAsia="微软雅黑" w:cs="Times New Roman"/>
                <w:i w:val="0"/>
                <w:iCs w:val="0"/>
                <w:color w:val="auto"/>
                <w:kern w:val="0"/>
                <w:sz w:val="20"/>
                <w:szCs w:val="21"/>
                <w:highlight w:val="none"/>
                <w:u w:val="none"/>
                <w:lang w:val="en-US" w:eastAsia="zh-CN" w:bidi="ar"/>
              </w:rPr>
            </w:pPr>
          </w:p>
        </w:tc>
        <w:tc>
          <w:tcPr>
            <w:tcW w:w="1118" w:type="dxa"/>
            <w:vAlign w:val="center"/>
          </w:tcPr>
          <w:p w14:paraId="3D72585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塘边村</w:t>
            </w:r>
          </w:p>
        </w:tc>
        <w:tc>
          <w:tcPr>
            <w:tcW w:w="945" w:type="dxa"/>
            <w:vAlign w:val="center"/>
          </w:tcPr>
          <w:p w14:paraId="57F5A862">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106.62</w:t>
            </w:r>
          </w:p>
        </w:tc>
        <w:tc>
          <w:tcPr>
            <w:tcW w:w="1064" w:type="dxa"/>
            <w:vAlign w:val="center"/>
          </w:tcPr>
          <w:p w14:paraId="16E9BD7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324</w:t>
            </w:r>
          </w:p>
        </w:tc>
        <w:tc>
          <w:tcPr>
            <w:tcW w:w="1073" w:type="dxa"/>
            <w:vAlign w:val="center"/>
          </w:tcPr>
          <w:p w14:paraId="5AFA930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467</w:t>
            </w:r>
          </w:p>
        </w:tc>
        <w:tc>
          <w:tcPr>
            <w:tcW w:w="1227" w:type="dxa"/>
            <w:vAlign w:val="center"/>
          </w:tcPr>
          <w:p w14:paraId="78A9FAD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144.08%</w:t>
            </w:r>
          </w:p>
        </w:tc>
        <w:tc>
          <w:tcPr>
            <w:tcW w:w="1091" w:type="dxa"/>
            <w:vAlign w:val="center"/>
          </w:tcPr>
          <w:p w14:paraId="69A4E18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严重超载</w:t>
            </w:r>
          </w:p>
        </w:tc>
        <w:tc>
          <w:tcPr>
            <w:tcW w:w="964" w:type="dxa"/>
            <w:vAlign w:val="center"/>
          </w:tcPr>
          <w:p w14:paraId="3449DF0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1101A7E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不适宜</w:t>
            </w:r>
          </w:p>
        </w:tc>
      </w:tr>
      <w:tr w14:paraId="2E9D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05E1BE73">
            <w:pPr>
              <w:jc w:val="center"/>
              <w:rPr>
                <w:rFonts w:hint="default" w:ascii="Times New Roman" w:hAnsi="Times New Roman" w:eastAsia="微软雅黑" w:cs="Times New Roman"/>
                <w:i w:val="0"/>
                <w:iCs w:val="0"/>
                <w:color w:val="auto"/>
                <w:kern w:val="0"/>
                <w:sz w:val="20"/>
                <w:szCs w:val="21"/>
                <w:highlight w:val="none"/>
                <w:u w:val="none"/>
                <w:lang w:val="en-US" w:eastAsia="zh-CN" w:bidi="ar"/>
              </w:rPr>
            </w:pPr>
          </w:p>
        </w:tc>
        <w:tc>
          <w:tcPr>
            <w:tcW w:w="1118" w:type="dxa"/>
            <w:vAlign w:val="center"/>
          </w:tcPr>
          <w:p w14:paraId="454DA7B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陈楼村</w:t>
            </w:r>
          </w:p>
        </w:tc>
        <w:tc>
          <w:tcPr>
            <w:tcW w:w="945" w:type="dxa"/>
            <w:vAlign w:val="center"/>
          </w:tcPr>
          <w:p w14:paraId="799D5FC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338.67</w:t>
            </w:r>
          </w:p>
        </w:tc>
        <w:tc>
          <w:tcPr>
            <w:tcW w:w="1064" w:type="dxa"/>
            <w:vAlign w:val="center"/>
          </w:tcPr>
          <w:p w14:paraId="22F6989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1030</w:t>
            </w:r>
          </w:p>
        </w:tc>
        <w:tc>
          <w:tcPr>
            <w:tcW w:w="1073" w:type="dxa"/>
            <w:vAlign w:val="center"/>
          </w:tcPr>
          <w:p w14:paraId="0793B7C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255</w:t>
            </w:r>
          </w:p>
        </w:tc>
        <w:tc>
          <w:tcPr>
            <w:tcW w:w="1227" w:type="dxa"/>
            <w:vAlign w:val="center"/>
          </w:tcPr>
          <w:p w14:paraId="75093DB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24.74%</w:t>
            </w:r>
          </w:p>
        </w:tc>
        <w:tc>
          <w:tcPr>
            <w:tcW w:w="1091" w:type="dxa"/>
            <w:vAlign w:val="center"/>
          </w:tcPr>
          <w:p w14:paraId="09C67F5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7E55F8C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57F1370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04A3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48CCCE97">
            <w:pPr>
              <w:jc w:val="center"/>
              <w:rPr>
                <w:rFonts w:hint="default" w:ascii="Times New Roman" w:hAnsi="Times New Roman" w:eastAsia="微软雅黑" w:cs="Times New Roman"/>
                <w:i w:val="0"/>
                <w:iCs w:val="0"/>
                <w:color w:val="auto"/>
                <w:kern w:val="0"/>
                <w:sz w:val="20"/>
                <w:szCs w:val="21"/>
                <w:highlight w:val="none"/>
                <w:u w:val="none"/>
                <w:lang w:val="en-US" w:eastAsia="zh-CN" w:bidi="ar"/>
              </w:rPr>
            </w:pPr>
          </w:p>
        </w:tc>
        <w:tc>
          <w:tcPr>
            <w:tcW w:w="1118" w:type="dxa"/>
            <w:vAlign w:val="center"/>
          </w:tcPr>
          <w:p w14:paraId="67F843E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金沙村</w:t>
            </w:r>
          </w:p>
        </w:tc>
        <w:tc>
          <w:tcPr>
            <w:tcW w:w="945" w:type="dxa"/>
            <w:vAlign w:val="center"/>
          </w:tcPr>
          <w:p w14:paraId="103872C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386.37</w:t>
            </w:r>
          </w:p>
        </w:tc>
        <w:tc>
          <w:tcPr>
            <w:tcW w:w="1064" w:type="dxa"/>
            <w:vAlign w:val="center"/>
          </w:tcPr>
          <w:p w14:paraId="73F81D1B">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1175</w:t>
            </w:r>
          </w:p>
        </w:tc>
        <w:tc>
          <w:tcPr>
            <w:tcW w:w="1073" w:type="dxa"/>
            <w:vAlign w:val="center"/>
          </w:tcPr>
          <w:p w14:paraId="5350649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465</w:t>
            </w:r>
          </w:p>
        </w:tc>
        <w:tc>
          <w:tcPr>
            <w:tcW w:w="1227" w:type="dxa"/>
            <w:vAlign w:val="center"/>
          </w:tcPr>
          <w:p w14:paraId="56930D9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39.57%</w:t>
            </w:r>
          </w:p>
        </w:tc>
        <w:tc>
          <w:tcPr>
            <w:tcW w:w="1091" w:type="dxa"/>
            <w:vAlign w:val="center"/>
          </w:tcPr>
          <w:p w14:paraId="26C0F5E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546D914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79E8BB2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6B469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619672E3">
            <w:pPr>
              <w:jc w:val="center"/>
              <w:rPr>
                <w:rFonts w:hint="default" w:ascii="Times New Roman" w:hAnsi="Times New Roman" w:eastAsia="微软雅黑" w:cs="Times New Roman"/>
                <w:i w:val="0"/>
                <w:iCs w:val="0"/>
                <w:color w:val="auto"/>
                <w:kern w:val="0"/>
                <w:sz w:val="20"/>
                <w:szCs w:val="21"/>
                <w:highlight w:val="none"/>
                <w:u w:val="none"/>
                <w:lang w:val="en-US" w:eastAsia="zh-CN" w:bidi="ar"/>
              </w:rPr>
            </w:pPr>
          </w:p>
        </w:tc>
        <w:tc>
          <w:tcPr>
            <w:tcW w:w="1118" w:type="dxa"/>
            <w:vAlign w:val="center"/>
          </w:tcPr>
          <w:p w14:paraId="25378EA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永欣村</w:t>
            </w:r>
          </w:p>
        </w:tc>
        <w:tc>
          <w:tcPr>
            <w:tcW w:w="945" w:type="dxa"/>
            <w:vAlign w:val="center"/>
          </w:tcPr>
          <w:p w14:paraId="724C72D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497.60</w:t>
            </w:r>
          </w:p>
        </w:tc>
        <w:tc>
          <w:tcPr>
            <w:tcW w:w="1064" w:type="dxa"/>
            <w:vAlign w:val="center"/>
          </w:tcPr>
          <w:p w14:paraId="56656F5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1513</w:t>
            </w:r>
          </w:p>
        </w:tc>
        <w:tc>
          <w:tcPr>
            <w:tcW w:w="1073" w:type="dxa"/>
            <w:vAlign w:val="center"/>
          </w:tcPr>
          <w:p w14:paraId="468347F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15</w:t>
            </w:r>
          </w:p>
        </w:tc>
        <w:tc>
          <w:tcPr>
            <w:tcW w:w="1227" w:type="dxa"/>
            <w:vAlign w:val="center"/>
          </w:tcPr>
          <w:p w14:paraId="32091CD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0.99%</w:t>
            </w:r>
          </w:p>
        </w:tc>
        <w:tc>
          <w:tcPr>
            <w:tcW w:w="1091" w:type="dxa"/>
            <w:vAlign w:val="center"/>
          </w:tcPr>
          <w:p w14:paraId="08CBA17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4D5F974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1C04DF4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6F42D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6DCF6335">
            <w:pPr>
              <w:jc w:val="center"/>
              <w:rPr>
                <w:rFonts w:hint="default" w:ascii="Times New Roman" w:hAnsi="Times New Roman" w:eastAsia="微软雅黑" w:cs="Times New Roman"/>
                <w:i w:val="0"/>
                <w:iCs w:val="0"/>
                <w:color w:val="auto"/>
                <w:kern w:val="0"/>
                <w:sz w:val="20"/>
                <w:szCs w:val="21"/>
                <w:highlight w:val="none"/>
                <w:u w:val="none"/>
                <w:lang w:val="en-US" w:eastAsia="zh-CN" w:bidi="ar"/>
              </w:rPr>
            </w:pPr>
          </w:p>
        </w:tc>
        <w:tc>
          <w:tcPr>
            <w:tcW w:w="1118" w:type="dxa"/>
            <w:vAlign w:val="center"/>
          </w:tcPr>
          <w:p w14:paraId="0F94E1B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迎新村</w:t>
            </w:r>
          </w:p>
        </w:tc>
        <w:tc>
          <w:tcPr>
            <w:tcW w:w="945" w:type="dxa"/>
            <w:vAlign w:val="center"/>
          </w:tcPr>
          <w:p w14:paraId="3F400E1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710.53</w:t>
            </w:r>
          </w:p>
        </w:tc>
        <w:tc>
          <w:tcPr>
            <w:tcW w:w="1064" w:type="dxa"/>
            <w:vAlign w:val="center"/>
          </w:tcPr>
          <w:p w14:paraId="58AE976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2160</w:t>
            </w:r>
          </w:p>
        </w:tc>
        <w:tc>
          <w:tcPr>
            <w:tcW w:w="1073" w:type="dxa"/>
            <w:vAlign w:val="center"/>
          </w:tcPr>
          <w:p w14:paraId="71C4D70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192</w:t>
            </w:r>
          </w:p>
        </w:tc>
        <w:tc>
          <w:tcPr>
            <w:tcW w:w="1227" w:type="dxa"/>
            <w:vAlign w:val="center"/>
          </w:tcPr>
          <w:p w14:paraId="6E6DC78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8.88%</w:t>
            </w:r>
          </w:p>
        </w:tc>
        <w:tc>
          <w:tcPr>
            <w:tcW w:w="1091" w:type="dxa"/>
            <w:vAlign w:val="center"/>
          </w:tcPr>
          <w:p w14:paraId="71950DF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6E4EE93C">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5D6AF03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68B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08907C5A">
            <w:pPr>
              <w:jc w:val="center"/>
              <w:rPr>
                <w:rFonts w:hint="default" w:ascii="Times New Roman" w:hAnsi="Times New Roman" w:eastAsia="微软雅黑" w:cs="Times New Roman"/>
                <w:i w:val="0"/>
                <w:iCs w:val="0"/>
                <w:color w:val="auto"/>
                <w:kern w:val="0"/>
                <w:sz w:val="20"/>
                <w:szCs w:val="21"/>
                <w:highlight w:val="none"/>
                <w:u w:val="none"/>
                <w:lang w:val="en-US" w:eastAsia="zh-CN" w:bidi="ar"/>
              </w:rPr>
            </w:pPr>
          </w:p>
        </w:tc>
        <w:tc>
          <w:tcPr>
            <w:tcW w:w="1118" w:type="dxa"/>
            <w:vAlign w:val="center"/>
          </w:tcPr>
          <w:p w14:paraId="3B3E7F5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甘溪村</w:t>
            </w:r>
          </w:p>
        </w:tc>
        <w:tc>
          <w:tcPr>
            <w:tcW w:w="945" w:type="dxa"/>
            <w:vAlign w:val="center"/>
          </w:tcPr>
          <w:p w14:paraId="2D65F06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2366.47</w:t>
            </w:r>
          </w:p>
        </w:tc>
        <w:tc>
          <w:tcPr>
            <w:tcW w:w="1064" w:type="dxa"/>
            <w:vAlign w:val="center"/>
          </w:tcPr>
          <w:p w14:paraId="5F05AB1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7194</w:t>
            </w:r>
          </w:p>
        </w:tc>
        <w:tc>
          <w:tcPr>
            <w:tcW w:w="1073" w:type="dxa"/>
            <w:vAlign w:val="center"/>
          </w:tcPr>
          <w:p w14:paraId="345DE4C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866</w:t>
            </w:r>
          </w:p>
        </w:tc>
        <w:tc>
          <w:tcPr>
            <w:tcW w:w="1227" w:type="dxa"/>
            <w:vAlign w:val="center"/>
          </w:tcPr>
          <w:p w14:paraId="3C6096C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12.04%</w:t>
            </w:r>
          </w:p>
        </w:tc>
        <w:tc>
          <w:tcPr>
            <w:tcW w:w="1091" w:type="dxa"/>
            <w:vAlign w:val="center"/>
          </w:tcPr>
          <w:p w14:paraId="1BD47E0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411E6218">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2678DC1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4A64B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0A01324F">
            <w:pPr>
              <w:jc w:val="center"/>
              <w:rPr>
                <w:rFonts w:hint="default" w:ascii="Times New Roman" w:hAnsi="Times New Roman" w:eastAsia="微软雅黑" w:cs="Times New Roman"/>
                <w:i w:val="0"/>
                <w:iCs w:val="0"/>
                <w:color w:val="auto"/>
                <w:kern w:val="0"/>
                <w:sz w:val="20"/>
                <w:szCs w:val="21"/>
                <w:highlight w:val="none"/>
                <w:u w:val="none"/>
                <w:lang w:val="en-US" w:eastAsia="zh-CN" w:bidi="ar"/>
              </w:rPr>
            </w:pPr>
          </w:p>
        </w:tc>
        <w:tc>
          <w:tcPr>
            <w:tcW w:w="1118" w:type="dxa"/>
            <w:vAlign w:val="center"/>
          </w:tcPr>
          <w:p w14:paraId="2B95CB7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福兴村</w:t>
            </w:r>
          </w:p>
        </w:tc>
        <w:tc>
          <w:tcPr>
            <w:tcW w:w="945" w:type="dxa"/>
            <w:vAlign w:val="center"/>
          </w:tcPr>
          <w:p w14:paraId="4B959F4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555.56</w:t>
            </w:r>
          </w:p>
        </w:tc>
        <w:tc>
          <w:tcPr>
            <w:tcW w:w="1064" w:type="dxa"/>
            <w:vAlign w:val="center"/>
          </w:tcPr>
          <w:p w14:paraId="74E2CED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1689</w:t>
            </w:r>
          </w:p>
        </w:tc>
        <w:tc>
          <w:tcPr>
            <w:tcW w:w="1073" w:type="dxa"/>
            <w:vAlign w:val="center"/>
          </w:tcPr>
          <w:p w14:paraId="3053C9A5">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193</w:t>
            </w:r>
          </w:p>
        </w:tc>
        <w:tc>
          <w:tcPr>
            <w:tcW w:w="1227" w:type="dxa"/>
            <w:vAlign w:val="center"/>
          </w:tcPr>
          <w:p w14:paraId="009903FE">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11.45%</w:t>
            </w:r>
          </w:p>
        </w:tc>
        <w:tc>
          <w:tcPr>
            <w:tcW w:w="1091" w:type="dxa"/>
            <w:vAlign w:val="center"/>
          </w:tcPr>
          <w:p w14:paraId="55ABEBD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66621D5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61FB739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7F88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2BCE3951">
            <w:pPr>
              <w:jc w:val="center"/>
              <w:rPr>
                <w:rFonts w:hint="default" w:ascii="Times New Roman" w:hAnsi="Times New Roman" w:eastAsia="微软雅黑" w:cs="Times New Roman"/>
                <w:i w:val="0"/>
                <w:iCs w:val="0"/>
                <w:color w:val="auto"/>
                <w:kern w:val="0"/>
                <w:sz w:val="20"/>
                <w:szCs w:val="21"/>
                <w:highlight w:val="none"/>
                <w:u w:val="none"/>
                <w:lang w:val="en-US" w:eastAsia="zh-CN" w:bidi="ar"/>
              </w:rPr>
            </w:pPr>
          </w:p>
        </w:tc>
        <w:tc>
          <w:tcPr>
            <w:tcW w:w="1118" w:type="dxa"/>
            <w:vAlign w:val="center"/>
          </w:tcPr>
          <w:p w14:paraId="5391684D">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柳溪村</w:t>
            </w:r>
          </w:p>
        </w:tc>
        <w:tc>
          <w:tcPr>
            <w:tcW w:w="945" w:type="dxa"/>
            <w:vAlign w:val="center"/>
          </w:tcPr>
          <w:p w14:paraId="42F26AC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866.85</w:t>
            </w:r>
          </w:p>
        </w:tc>
        <w:tc>
          <w:tcPr>
            <w:tcW w:w="1064" w:type="dxa"/>
            <w:vAlign w:val="center"/>
          </w:tcPr>
          <w:p w14:paraId="60B452F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2635</w:t>
            </w:r>
          </w:p>
        </w:tc>
        <w:tc>
          <w:tcPr>
            <w:tcW w:w="1073" w:type="dxa"/>
            <w:vAlign w:val="center"/>
          </w:tcPr>
          <w:p w14:paraId="54BDCF8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1228</w:t>
            </w:r>
          </w:p>
        </w:tc>
        <w:tc>
          <w:tcPr>
            <w:tcW w:w="1227" w:type="dxa"/>
            <w:vAlign w:val="center"/>
          </w:tcPr>
          <w:p w14:paraId="79F21EF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46.60%</w:t>
            </w:r>
          </w:p>
        </w:tc>
        <w:tc>
          <w:tcPr>
            <w:tcW w:w="1091" w:type="dxa"/>
            <w:vAlign w:val="center"/>
          </w:tcPr>
          <w:p w14:paraId="43AF4F57">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72225B6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48D98FBF">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1267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vMerge w:val="continue"/>
            <w:vAlign w:val="center"/>
          </w:tcPr>
          <w:p w14:paraId="564A0DF4">
            <w:pPr>
              <w:jc w:val="center"/>
              <w:rPr>
                <w:rFonts w:hint="default" w:ascii="Times New Roman" w:hAnsi="Times New Roman" w:eastAsia="微软雅黑" w:cs="Times New Roman"/>
                <w:i w:val="0"/>
                <w:iCs w:val="0"/>
                <w:color w:val="auto"/>
                <w:kern w:val="0"/>
                <w:sz w:val="20"/>
                <w:szCs w:val="21"/>
                <w:highlight w:val="none"/>
                <w:u w:val="none"/>
                <w:lang w:val="en-US" w:eastAsia="zh-CN" w:bidi="ar"/>
              </w:rPr>
            </w:pPr>
          </w:p>
        </w:tc>
        <w:tc>
          <w:tcPr>
            <w:tcW w:w="1118" w:type="dxa"/>
            <w:vAlign w:val="center"/>
          </w:tcPr>
          <w:p w14:paraId="44B06A10">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前锋村</w:t>
            </w:r>
          </w:p>
        </w:tc>
        <w:tc>
          <w:tcPr>
            <w:tcW w:w="945" w:type="dxa"/>
            <w:vAlign w:val="center"/>
          </w:tcPr>
          <w:p w14:paraId="0F684501">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294.70</w:t>
            </w:r>
          </w:p>
        </w:tc>
        <w:tc>
          <w:tcPr>
            <w:tcW w:w="1064" w:type="dxa"/>
            <w:vAlign w:val="center"/>
          </w:tcPr>
          <w:p w14:paraId="161AC87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896</w:t>
            </w:r>
          </w:p>
        </w:tc>
        <w:tc>
          <w:tcPr>
            <w:tcW w:w="1073" w:type="dxa"/>
            <w:vAlign w:val="center"/>
          </w:tcPr>
          <w:p w14:paraId="57B32E06">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95</w:t>
            </w:r>
          </w:p>
        </w:tc>
        <w:tc>
          <w:tcPr>
            <w:tcW w:w="1227" w:type="dxa"/>
            <w:vAlign w:val="center"/>
          </w:tcPr>
          <w:p w14:paraId="50E7A503">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10.64%</w:t>
            </w:r>
          </w:p>
        </w:tc>
        <w:tc>
          <w:tcPr>
            <w:tcW w:w="1091" w:type="dxa"/>
            <w:vAlign w:val="center"/>
          </w:tcPr>
          <w:p w14:paraId="421CBB5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未超载</w:t>
            </w:r>
          </w:p>
        </w:tc>
        <w:tc>
          <w:tcPr>
            <w:tcW w:w="964" w:type="dxa"/>
            <w:vAlign w:val="center"/>
          </w:tcPr>
          <w:p w14:paraId="7466F0C9">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是</w:t>
            </w:r>
          </w:p>
        </w:tc>
        <w:tc>
          <w:tcPr>
            <w:tcW w:w="1014" w:type="dxa"/>
            <w:vAlign w:val="center"/>
          </w:tcPr>
          <w:p w14:paraId="45813CBA">
            <w:pPr>
              <w:keepNext/>
              <w:keepLines w:val="0"/>
              <w:widowControl/>
              <w:suppressLineNumbers w:val="0"/>
              <w:snapToGrid w:val="0"/>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在禁（限）养区外适宜</w:t>
            </w:r>
          </w:p>
        </w:tc>
      </w:tr>
      <w:tr w14:paraId="26F1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34" w:type="dxa"/>
            <w:gridSpan w:val="9"/>
            <w:vAlign w:val="center"/>
          </w:tcPr>
          <w:p w14:paraId="131D8BEB">
            <w:pPr>
              <w:snapToGrid w:val="0"/>
              <w:spacing w:line="240" w:lineRule="auto"/>
              <w:ind w:left="0" w:leftChars="0" w:right="0" w:rightChars="0" w:firstLine="0" w:firstLineChars="0"/>
              <w:jc w:val="left"/>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备注：</w:t>
            </w:r>
          </w:p>
          <w:p w14:paraId="0F7B2730">
            <w:pPr>
              <w:snapToGrid w:val="0"/>
              <w:spacing w:line="240" w:lineRule="auto"/>
              <w:ind w:left="0" w:leftChars="0" w:right="0" w:rightChars="0" w:firstLine="0" w:firstLineChars="0"/>
              <w:jc w:val="left"/>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1.计算承载力依据：四川省农业厅四川省环境保护厅关于印发《四川省畜禽养殖污染防治技术指南（试行）》的通知川农业函〔2017〕647号。</w:t>
            </w:r>
          </w:p>
          <w:p w14:paraId="57CC4D45">
            <w:pPr>
              <w:snapToGrid w:val="0"/>
              <w:spacing w:line="240" w:lineRule="auto"/>
              <w:ind w:left="0" w:leftChars="0" w:right="0" w:rightChars="0" w:firstLine="0" w:firstLineChars="0"/>
              <w:jc w:val="left"/>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2.分镇村的现状数据来源：夹江县2025年各镇街畜牧业生产统计基层表。</w:t>
            </w:r>
          </w:p>
          <w:p w14:paraId="5B4E766E">
            <w:pPr>
              <w:snapToGrid w:val="0"/>
              <w:spacing w:line="240" w:lineRule="auto"/>
              <w:ind w:left="0" w:leftChars="0" w:right="0" w:rightChars="0" w:firstLine="0" w:firstLineChars="0"/>
              <w:jc w:val="left"/>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3.土地承载力评价标准：现状养殖占适宜承载力比重≧80%评价为严重超载，现状养殖占适宜承载力比重50%—80%评价为存在超载风险，现状养殖占适宜承载力比重50%≦评价为未超载。</w:t>
            </w:r>
          </w:p>
          <w:p w14:paraId="4D59910D">
            <w:pPr>
              <w:snapToGrid w:val="0"/>
              <w:spacing w:line="240" w:lineRule="auto"/>
              <w:ind w:left="0" w:leftChars="0" w:right="0" w:rightChars="0" w:firstLine="0" w:firstLineChars="0"/>
              <w:jc w:val="left"/>
              <w:rPr>
                <w:rFonts w:hint="default" w:ascii="Times New Roman" w:hAnsi="Times New Roman"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综合评价依据：依据土地承载力评价结果和畜禽养殖禁（限）养区划定进行综合评估得出结论，例如某村/社区未超载且有养殖区则评价为在禁（限）养区外适宜；如某村/社区存在严重超载/存在超载风险，且有养殖区则评价为不适宜；如某村/社区在城镇开发区内，均评价为不适宜；实际发展畜禽养殖过程中，还应结合实地地形及用地、交通等情况进行综合选址。</w:t>
            </w:r>
          </w:p>
        </w:tc>
      </w:tr>
    </w:tbl>
    <w:p w14:paraId="69E08B73">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22" w:name="_Toc16017"/>
      <w:r>
        <w:rPr>
          <w:rFonts w:hint="default" w:ascii="Times New Roman" w:hAnsi="Times New Roman" w:eastAsia="黑体" w:cs="Times New Roman"/>
          <w:b w:val="0"/>
          <w:bCs/>
          <w:strike w:val="0"/>
          <w:dstrike w:val="0"/>
          <w:color w:val="auto"/>
          <w:kern w:val="2"/>
          <w:sz w:val="32"/>
          <w:szCs w:val="32"/>
          <w:lang w:val="en-US" w:eastAsia="zh-CN" w:bidi="ar-SA"/>
        </w:rPr>
        <w:t>三、</w:t>
      </w:r>
      <w:r>
        <w:rPr>
          <w:rFonts w:hint="default" w:ascii="Times New Roman" w:hAnsi="Times New Roman" w:eastAsia="黑体" w:cs="Times New Roman"/>
          <w:b w:val="0"/>
          <w:bCs/>
          <w:strike w:val="0"/>
          <w:dstrike w:val="0"/>
          <w:color w:val="auto"/>
          <w:kern w:val="2"/>
          <w:sz w:val="32"/>
          <w:szCs w:val="32"/>
          <w:lang w:val="en-US" w:eastAsia="zh-CN" w:bidi="ar-SA"/>
        </w:rPr>
        <w:fldChar w:fldCharType="begin"/>
      </w:r>
      <w:r>
        <w:rPr>
          <w:rFonts w:hint="default" w:ascii="Times New Roman" w:hAnsi="Times New Roman" w:eastAsia="黑体" w:cs="Times New Roman"/>
          <w:b w:val="0"/>
          <w:bCs/>
          <w:strike w:val="0"/>
          <w:dstrike w:val="0"/>
          <w:color w:val="auto"/>
          <w:kern w:val="2"/>
          <w:sz w:val="32"/>
          <w:szCs w:val="32"/>
          <w:lang w:val="en-US" w:eastAsia="zh-CN" w:bidi="ar-SA"/>
        </w:rPr>
        <w:instrText xml:space="preserve"> HYPERLINK \l "_Toc184626571" </w:instrText>
      </w:r>
      <w:r>
        <w:rPr>
          <w:rFonts w:hint="default" w:ascii="Times New Roman" w:hAnsi="Times New Roman" w:eastAsia="黑体" w:cs="Times New Roman"/>
          <w:b w:val="0"/>
          <w:bCs/>
          <w:strike w:val="0"/>
          <w:dstrike w:val="0"/>
          <w:color w:val="auto"/>
          <w:kern w:val="2"/>
          <w:sz w:val="32"/>
          <w:szCs w:val="32"/>
          <w:lang w:val="en-US" w:eastAsia="zh-CN" w:bidi="ar-SA"/>
        </w:rPr>
        <w:fldChar w:fldCharType="separate"/>
      </w:r>
      <w:r>
        <w:rPr>
          <w:rFonts w:hint="default" w:ascii="Times New Roman" w:hAnsi="Times New Roman" w:eastAsia="黑体" w:cs="Times New Roman"/>
          <w:b w:val="0"/>
          <w:bCs/>
          <w:strike w:val="0"/>
          <w:dstrike w:val="0"/>
          <w:color w:val="auto"/>
          <w:kern w:val="2"/>
          <w:sz w:val="32"/>
          <w:szCs w:val="32"/>
          <w:lang w:val="en-US" w:eastAsia="zh-CN" w:bidi="ar-SA"/>
        </w:rPr>
        <w:t>发展挑战</w:t>
      </w:r>
      <w:r>
        <w:rPr>
          <w:rFonts w:hint="default" w:ascii="Times New Roman" w:hAnsi="Times New Roman" w:eastAsia="黑体" w:cs="Times New Roman"/>
          <w:b w:val="0"/>
          <w:bCs/>
          <w:strike w:val="0"/>
          <w:dstrike w:val="0"/>
          <w:color w:val="auto"/>
          <w:kern w:val="2"/>
          <w:sz w:val="32"/>
          <w:szCs w:val="32"/>
          <w:lang w:val="en-US" w:eastAsia="zh-CN" w:bidi="ar-SA"/>
        </w:rPr>
        <w:fldChar w:fldCharType="end"/>
      </w:r>
      <w:bookmarkEnd w:id="21"/>
      <w:bookmarkEnd w:id="22"/>
    </w:p>
    <w:p w14:paraId="1375DE8C">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highlight w:val="none"/>
          <w:lang w:val="en-US" w:eastAsia="zh-CN"/>
        </w:rPr>
      </w:pPr>
      <w:r>
        <w:rPr>
          <w:rFonts w:hint="eastAsia" w:ascii="仿宋_GB2312" w:hAnsi="仿宋_GB2312" w:eastAsia="仿宋_GB2312" w:cs="仿宋_GB2312"/>
          <w:color w:val="auto"/>
          <w:highlight w:val="none"/>
          <w:lang w:val="en-US" w:eastAsia="zh-CN"/>
        </w:rPr>
        <w:t>“十四五”</w:t>
      </w:r>
      <w:r>
        <w:rPr>
          <w:rFonts w:hint="default" w:ascii="Times New Roman" w:hAnsi="Times New Roman" w:eastAsia="仿宋_GB2312" w:cs="Times New Roman"/>
          <w:color w:val="auto"/>
          <w:highlight w:val="none"/>
          <w:lang w:val="en-US" w:eastAsia="zh-CN"/>
        </w:rPr>
        <w:t>时期，全县畜牧业发展虽然取得显著成效，但面对新发展阶段，贯彻新发展绿色理念，主动融入新发展格局的新要求来衡量，还存在许多困难和问题。</w:t>
      </w:r>
    </w:p>
    <w:p w14:paraId="435965B5">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b/>
          <w:bCs/>
          <w:color w:val="auto"/>
          <w:highlight w:val="none"/>
          <w:lang w:val="en-US" w:eastAsia="zh-CN"/>
        </w:rPr>
        <w:t>部分养殖场现代化水平偏低。</w:t>
      </w:r>
      <w:r>
        <w:rPr>
          <w:rFonts w:hint="default" w:ascii="Times New Roman" w:hAnsi="Times New Roman" w:eastAsia="仿宋_GB2312" w:cs="Times New Roman"/>
          <w:b w:val="0"/>
          <w:bCs w:val="0"/>
          <w:color w:val="auto"/>
          <w:highlight w:val="none"/>
          <w:lang w:val="en-US" w:eastAsia="zh-CN"/>
        </w:rPr>
        <w:t>全县养殖总量可观，但规模分布存在不均衡现象。规模以下的</w:t>
      </w:r>
      <w:r>
        <w:rPr>
          <w:rFonts w:hint="default" w:ascii="Times New Roman" w:hAnsi="Times New Roman" w:eastAsia="仿宋_GB2312" w:cs="Times New Roman"/>
          <w:color w:val="auto"/>
          <w:highlight w:val="none"/>
          <w:lang w:val="en-US" w:eastAsia="zh-CN"/>
        </w:rPr>
        <w:t>中小养殖场（户）占比较高、分布广泛且涉及群体庞大，在饲养技术、经营管理、产品销售以及重大疫病防控等方面，与规模化养殖场存在显著差距。同时，其对现代化管理技术的认知、接受与利用程度不足。部分养殖场建场时间较长，受生产设施建设滞后、养殖规模扩大等因素影响，设施出现破损老化问题，生产设施的智能化、自动化和机械化水平较低。部分养殖场未严格遵循国家相关规定使用饲料、兽药和添加剂，导致产品存在较大安全隐患，市场竞争力较弱。种源自主可控能力欠缺，生猪、家禽、肉牛、肉兔等大部分种畜禽为引进品种，地方畜禽资源和培育品种的开发利用不充分，品种资源优势未能充分转化为产品优势。</w:t>
      </w:r>
    </w:p>
    <w:p w14:paraId="7BE4CDEE">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b/>
          <w:bCs/>
          <w:color w:val="auto"/>
          <w:highlight w:val="none"/>
          <w:lang w:val="en-US" w:eastAsia="zh-CN"/>
        </w:rPr>
        <w:t>产业链条尚不完整。</w:t>
      </w:r>
      <w:r>
        <w:rPr>
          <w:rFonts w:hint="default" w:ascii="Times New Roman" w:hAnsi="Times New Roman" w:eastAsia="仿宋_GB2312" w:cs="Times New Roman"/>
          <w:color w:val="auto"/>
          <w:highlight w:val="none"/>
          <w:lang w:val="en-US" w:eastAsia="zh-CN"/>
        </w:rPr>
        <w:t>新型经营主体服务层次低。全县新型经营主体提供的服务多停留在一产层面，整体服务层次比较低，在畜禽配种、精液配送、畜禽粪污处理、病死畜禽无害化处理、动物防疫以及金融保险等方面社会化服务发展缓慢。总体经营主体实力弱，知名度不高，融入现代电商经济、网红经济、快餐文化不深，生产端与消费端连接不紧密。高端特色产品规模小，响亮品牌少。产品期货、集群建设、区域畜禽特色产业组合发展等产业链现代服务体系仅现雏形，难以适应现代畜牧业发展。</w:t>
      </w:r>
    </w:p>
    <w:p w14:paraId="346182F9">
      <w:pPr>
        <w:pStyle w:val="25"/>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b/>
          <w:bCs/>
          <w:color w:val="auto"/>
          <w:highlight w:val="none"/>
          <w:lang w:val="en-US" w:eastAsia="zh-CN"/>
        </w:rPr>
        <w:t>粪污资源化利用水</w:t>
      </w:r>
      <w:r>
        <w:rPr>
          <w:rFonts w:hint="eastAsia" w:ascii="Times New Roman" w:hAnsi="Times New Roman" w:eastAsia="仿宋_GB2312" w:cs="Times New Roman"/>
          <w:b/>
          <w:bCs/>
          <w:color w:val="auto"/>
          <w:highlight w:val="none"/>
          <w:lang w:val="en-US" w:eastAsia="zh-CN"/>
        </w:rPr>
        <w:t>平有</w:t>
      </w:r>
      <w:r>
        <w:rPr>
          <w:rFonts w:hint="default" w:ascii="Times New Roman" w:hAnsi="Times New Roman" w:eastAsia="仿宋_GB2312" w:cs="Times New Roman"/>
          <w:b/>
          <w:bCs/>
          <w:color w:val="auto"/>
          <w:highlight w:val="none"/>
          <w:lang w:val="en-US" w:eastAsia="zh-CN"/>
        </w:rPr>
        <w:t>待提升。</w:t>
      </w:r>
      <w:r>
        <w:rPr>
          <w:rFonts w:hint="default" w:ascii="Times New Roman" w:hAnsi="Times New Roman" w:eastAsia="仿宋_GB2312" w:cs="Times New Roman"/>
          <w:b w:val="0"/>
          <w:bCs w:val="0"/>
          <w:color w:val="auto"/>
          <w:highlight w:val="none"/>
          <w:lang w:val="en-US" w:eastAsia="zh-CN"/>
        </w:rPr>
        <w:t>受养殖规模持续扩大、资金投入</w:t>
      </w:r>
      <w:r>
        <w:rPr>
          <w:rFonts w:hint="default" w:ascii="Times New Roman" w:hAnsi="Times New Roman" w:eastAsia="仿宋_GB2312" w:cs="Times New Roman"/>
          <w:color w:val="auto"/>
          <w:highlight w:val="none"/>
          <w:lang w:val="en-US" w:eastAsia="zh-CN"/>
        </w:rPr>
        <w:t>受限、建场时间较早等多因素综合影响，粪污处理存在设施不规范、设备破损老化甚至无法正常使用的现象，</w:t>
      </w:r>
      <w:r>
        <w:rPr>
          <w:rFonts w:hint="default" w:ascii="Times New Roman" w:hAnsi="Times New Roman" w:eastAsia="仿宋_GB2312" w:cs="Times New Roman"/>
          <w:b w:val="0"/>
          <w:bCs w:val="0"/>
          <w:color w:val="auto"/>
          <w:highlight w:val="none"/>
          <w:lang w:val="en-US" w:eastAsia="zh-CN"/>
        </w:rPr>
        <w:t>废弃物资源化利用设施设备有待提升。</w:t>
      </w:r>
      <w:r>
        <w:rPr>
          <w:rFonts w:hint="default" w:ascii="Times New Roman" w:hAnsi="Times New Roman" w:eastAsia="仿宋_GB2312" w:cs="Times New Roman"/>
          <w:color w:val="auto"/>
          <w:highlight w:val="none"/>
          <w:lang w:val="en-US" w:eastAsia="zh-CN"/>
        </w:rPr>
        <w:t>现有畜禽粪污资源化利用方式较为粗放低效，粪污收集和运输体系尤为不完善，致使畜禽粪污资源化利用率长期处于较低水平。</w:t>
      </w:r>
      <w:r>
        <w:rPr>
          <w:rFonts w:hint="default" w:ascii="Times New Roman" w:hAnsi="Times New Roman" w:eastAsia="仿宋_GB2312" w:cs="Times New Roman"/>
          <w:b w:val="0"/>
          <w:bCs w:val="0"/>
          <w:color w:val="auto"/>
          <w:highlight w:val="none"/>
          <w:lang w:val="en-US" w:eastAsia="zh-CN"/>
        </w:rPr>
        <w:t>废弃物资源化利用区域分布不均衡。</w:t>
      </w:r>
      <w:r>
        <w:rPr>
          <w:rFonts w:hint="default" w:ascii="Times New Roman" w:hAnsi="Times New Roman" w:eastAsia="仿宋_GB2312" w:cs="Times New Roman"/>
          <w:color w:val="auto"/>
          <w:sz w:val="32"/>
          <w:szCs w:val="32"/>
          <w:highlight w:val="none"/>
          <w:lang w:val="en-US" w:eastAsia="zh-CN"/>
        </w:rPr>
        <w:t>华头镇、马村镇、漹城街道畜禽养殖数量少，畜禽养殖规模未超过土地适宜承载力标准。木城镇、吴场镇、新场镇和黄土镇畜禽养殖数量大，畜禽养殖规模逼近土地适宜承载力标准，畜禽粪污治理压力大。</w:t>
      </w:r>
    </w:p>
    <w:p w14:paraId="4E5AD807">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23" w:name="_Toc17702"/>
      <w:bookmarkStart w:id="24" w:name="_Toc608"/>
      <w:r>
        <w:rPr>
          <w:rFonts w:hint="default" w:ascii="Times New Roman" w:hAnsi="Times New Roman" w:eastAsia="黑体" w:cs="Times New Roman"/>
          <w:b w:val="0"/>
          <w:bCs/>
          <w:strike w:val="0"/>
          <w:dstrike w:val="0"/>
          <w:color w:val="auto"/>
          <w:kern w:val="2"/>
          <w:sz w:val="32"/>
          <w:szCs w:val="32"/>
          <w:lang w:val="en-US" w:eastAsia="zh-CN" w:bidi="ar-SA"/>
        </w:rPr>
        <w:t>四、</w:t>
      </w:r>
      <w:r>
        <w:rPr>
          <w:rFonts w:hint="default" w:ascii="Times New Roman" w:hAnsi="Times New Roman" w:eastAsia="黑体" w:cs="Times New Roman"/>
          <w:b w:val="0"/>
          <w:bCs/>
          <w:strike w:val="0"/>
          <w:dstrike w:val="0"/>
          <w:color w:val="auto"/>
          <w:kern w:val="2"/>
          <w:sz w:val="32"/>
          <w:szCs w:val="32"/>
          <w:lang w:val="en-US" w:eastAsia="zh-CN" w:bidi="ar-SA"/>
        </w:rPr>
        <w:fldChar w:fldCharType="begin"/>
      </w:r>
      <w:r>
        <w:rPr>
          <w:rFonts w:hint="default" w:ascii="Times New Roman" w:hAnsi="Times New Roman" w:eastAsia="黑体" w:cs="Times New Roman"/>
          <w:b w:val="0"/>
          <w:bCs/>
          <w:strike w:val="0"/>
          <w:dstrike w:val="0"/>
          <w:color w:val="auto"/>
          <w:kern w:val="2"/>
          <w:sz w:val="32"/>
          <w:szCs w:val="32"/>
          <w:lang w:val="en-US" w:eastAsia="zh-CN" w:bidi="ar-SA"/>
        </w:rPr>
        <w:instrText xml:space="preserve"> HYPERLINK \l "_Toc184626572" </w:instrText>
      </w:r>
      <w:r>
        <w:rPr>
          <w:rFonts w:hint="default" w:ascii="Times New Roman" w:hAnsi="Times New Roman" w:eastAsia="黑体" w:cs="Times New Roman"/>
          <w:b w:val="0"/>
          <w:bCs/>
          <w:strike w:val="0"/>
          <w:dstrike w:val="0"/>
          <w:color w:val="auto"/>
          <w:kern w:val="2"/>
          <w:sz w:val="32"/>
          <w:szCs w:val="32"/>
          <w:lang w:val="en-US" w:eastAsia="zh-CN" w:bidi="ar-SA"/>
        </w:rPr>
        <w:fldChar w:fldCharType="separate"/>
      </w:r>
      <w:r>
        <w:rPr>
          <w:rFonts w:hint="default" w:ascii="Times New Roman" w:hAnsi="Times New Roman" w:eastAsia="黑体" w:cs="Times New Roman"/>
          <w:b w:val="0"/>
          <w:bCs/>
          <w:strike w:val="0"/>
          <w:dstrike w:val="0"/>
          <w:color w:val="auto"/>
          <w:kern w:val="2"/>
          <w:sz w:val="32"/>
          <w:szCs w:val="32"/>
          <w:lang w:val="en-US" w:eastAsia="zh-CN" w:bidi="ar-SA"/>
        </w:rPr>
        <w:t>发展</w:t>
      </w:r>
      <w:r>
        <w:rPr>
          <w:rFonts w:hint="default" w:ascii="Times New Roman" w:hAnsi="Times New Roman" w:eastAsia="黑体" w:cs="Times New Roman"/>
          <w:b w:val="0"/>
          <w:bCs/>
          <w:strike w:val="0"/>
          <w:dstrike w:val="0"/>
          <w:color w:val="auto"/>
          <w:kern w:val="2"/>
          <w:sz w:val="32"/>
          <w:szCs w:val="32"/>
          <w:lang w:val="en-US" w:eastAsia="zh-CN" w:bidi="ar-SA"/>
        </w:rPr>
        <w:fldChar w:fldCharType="end"/>
      </w:r>
      <w:r>
        <w:rPr>
          <w:rFonts w:hint="default" w:ascii="Times New Roman" w:hAnsi="Times New Roman" w:eastAsia="黑体" w:cs="Times New Roman"/>
          <w:b w:val="0"/>
          <w:bCs/>
          <w:strike w:val="0"/>
          <w:dstrike w:val="0"/>
          <w:color w:val="auto"/>
          <w:kern w:val="2"/>
          <w:sz w:val="32"/>
          <w:szCs w:val="32"/>
          <w:lang w:val="en-US" w:eastAsia="zh-CN" w:bidi="ar-SA"/>
        </w:rPr>
        <w:t>机遇</w:t>
      </w:r>
      <w:bookmarkEnd w:id="23"/>
      <w:bookmarkEnd w:id="24"/>
    </w:p>
    <w:p w14:paraId="4593C8EB">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b/>
          <w:bCs/>
          <w:color w:val="auto"/>
          <w:highlight w:val="none"/>
          <w:lang w:val="en-US" w:eastAsia="zh-CN"/>
        </w:rPr>
        <w:t>国省市政策多维赋能，畜牧产业发展机遇凸显。</w:t>
      </w:r>
      <w:r>
        <w:rPr>
          <w:rFonts w:hint="default" w:ascii="Times New Roman" w:hAnsi="Times New Roman" w:eastAsia="仿宋_GB2312" w:cs="Times New Roman"/>
          <w:b w:val="0"/>
          <w:bCs w:val="0"/>
          <w:color w:val="auto"/>
          <w:highlight w:val="none"/>
          <w:lang w:val="en-US" w:eastAsia="zh-CN"/>
        </w:rPr>
        <w:t>畜牧业作为保障肉、蛋、奶等重要农产品有效供给的战略性产业，是农业农村经济</w:t>
      </w:r>
      <w:r>
        <w:rPr>
          <w:rFonts w:hint="default" w:ascii="Times New Roman" w:hAnsi="Times New Roman" w:eastAsia="仿宋_GB2312" w:cs="Times New Roman"/>
          <w:color w:val="auto"/>
          <w:highlight w:val="none"/>
          <w:lang w:val="en-US" w:eastAsia="zh-CN"/>
        </w:rPr>
        <w:t>的支柱性产业，亦是农民实现增收的关键产业。国家明确倡导树立大农业观与大食物观，扶持畜牧业实现稳定发展，稳固生猪、肉牛的基础产能，鼓励发展适度规模的高效养殖模式，强化动物检疫以及重大疫病防控工作，推动饲草生产水平的提升。四川省提出培育畜牧万亿产业，推进建圈强链工程，夹江县属于生猪</w:t>
      </w:r>
      <w:r>
        <w:rPr>
          <w:rFonts w:hint="default" w:ascii="Times New Roman" w:hAnsi="Times New Roman" w:eastAsia="仿宋_GB2312" w:cs="Times New Roman"/>
          <w:color w:val="auto"/>
          <w:kern w:val="2"/>
          <w:sz w:val="32"/>
          <w:szCs w:val="22"/>
          <w:highlight w:val="none"/>
          <w:lang w:val="en-US" w:eastAsia="zh-CN" w:bidi="ar-SA"/>
        </w:rPr>
        <w:t>产业生态圈和家禽产业生态圈。夹江县围绕乐山市“2111”产业集群以及国家级蛋鸡产业集群目标，从加强现代农业园区与蛋鸡产业集群创建、提高标准化养殖水平、增强加工能力、拓展品牌影响力等方面入手，大力促进产业朝着集约化、规模化、标准化、产业化、品牌化方向发展，致力于实现农民增收与企业增效的目标。</w:t>
      </w:r>
    </w:p>
    <w:p w14:paraId="6DDA21BF">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b/>
          <w:bCs/>
          <w:color w:val="auto"/>
          <w:highlight w:val="none"/>
          <w:lang w:val="en-US" w:eastAsia="zh-CN"/>
        </w:rPr>
        <w:t>消费升级与健康需求驱动，迈向绿色转型之路。</w:t>
      </w:r>
      <w:r>
        <w:rPr>
          <w:rFonts w:hint="default" w:ascii="Times New Roman" w:hAnsi="Times New Roman" w:eastAsia="仿宋_GB2312" w:cs="Times New Roman"/>
          <w:b w:val="0"/>
          <w:bCs w:val="0"/>
          <w:color w:val="auto"/>
          <w:highlight w:val="none"/>
          <w:lang w:val="en-US" w:eastAsia="zh-CN"/>
        </w:rPr>
        <w:t>在社会进步与科技发展的协同推动下，民众生活品质持续改善，对食品安全和健康生活的重视程度与日俱增。畜产品作为食品供应链的核心环节，其质量安全与公共安全和健康紧密相连。</w:t>
      </w:r>
      <w:r>
        <w:rPr>
          <w:rFonts w:hint="default" w:ascii="Times New Roman" w:hAnsi="Times New Roman" w:eastAsia="仿宋_GB2312" w:cs="Times New Roman"/>
          <w:color w:val="auto"/>
          <w:highlight w:val="none"/>
          <w:lang w:val="en-US" w:eastAsia="zh-CN"/>
        </w:rPr>
        <w:t>消费转型升级已成为畜牧产业升级的重要指引，不仅要保障民众饮食的数量与质量，更要满足其对健康和个性化的追求。同时，消费需求不仅局限于优质畜产品，还涵盖农业观光休闲等服务性需求，以及对生态化、绿色化环境的向往。</w:t>
      </w:r>
      <w:r>
        <w:rPr>
          <w:rFonts w:hint="default" w:ascii="Times New Roman" w:hAnsi="Times New Roman" w:eastAsia="仿宋_GB2312" w:cs="Times New Roman"/>
          <w:b w:val="0"/>
          <w:bCs w:val="0"/>
          <w:color w:val="auto"/>
          <w:highlight w:val="none"/>
          <w:lang w:val="en-US" w:eastAsia="zh-CN"/>
        </w:rPr>
        <w:t>夹江县地处乐山北部，位于成都平原1小时经济圈与川南经济圈的交集区域。成都常住人口逾2300万，消费市场规模可观，为夹江县发展绿色高效畜牧业提供了稳定的消费群体，</w:t>
      </w:r>
      <w:r>
        <w:rPr>
          <w:rFonts w:hint="default" w:ascii="Times New Roman" w:hAnsi="Times New Roman" w:eastAsia="仿宋_GB2312" w:cs="Times New Roman"/>
          <w:color w:val="auto"/>
          <w:highlight w:val="none"/>
          <w:lang w:val="en-US" w:eastAsia="zh-CN"/>
        </w:rPr>
        <w:t>精准顺应了消费升级的趋势。</w:t>
      </w:r>
    </w:p>
    <w:p w14:paraId="68FAE8CD">
      <w:pPr>
        <w:keepNext w:val="0"/>
        <w:keepLines w:val="0"/>
        <w:pageBreakBefore w:val="0"/>
        <w:widowControl w:val="0"/>
        <w:suppressLineNumbers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b/>
          <w:bCs/>
          <w:color w:val="auto"/>
          <w:highlight w:val="none"/>
          <w:lang w:val="en-US" w:eastAsia="zh-CN"/>
        </w:rPr>
        <w:t>领航企业发挥显著带动作用，促进全产业链竞争力提升。</w:t>
      </w:r>
      <w:r>
        <w:rPr>
          <w:rFonts w:hint="default" w:ascii="Times New Roman" w:hAnsi="Times New Roman" w:eastAsia="仿宋_GB2312" w:cs="Times New Roman"/>
          <w:b w:val="0"/>
          <w:bCs w:val="0"/>
          <w:color w:val="auto"/>
          <w:highlight w:val="none"/>
          <w:lang w:val="en-US" w:eastAsia="zh-CN"/>
        </w:rPr>
        <w:t>在政策利好与产业扶持的双重推动下，</w:t>
      </w:r>
      <w:r>
        <w:rPr>
          <w:rFonts w:hint="default" w:ascii="Times New Roman" w:hAnsi="Times New Roman" w:eastAsia="仿宋_GB2312" w:cs="Times New Roman"/>
          <w:color w:val="auto"/>
          <w:sz w:val="32"/>
          <w:szCs w:val="32"/>
          <w:highlight w:val="none"/>
          <w:lang w:val="en-US" w:eastAsia="zh-CN"/>
        </w:rPr>
        <w:t>以四川厚全生态农业</w:t>
      </w:r>
      <w:r>
        <w:rPr>
          <w:rFonts w:hint="default" w:ascii="Times New Roman" w:hAnsi="Times New Roman" w:eastAsia="仿宋_GB2312" w:cs="Times New Roman"/>
          <w:color w:val="auto"/>
          <w:highlight w:val="none"/>
          <w:lang w:val="en-US" w:eastAsia="zh-CN"/>
        </w:rPr>
        <w:t>有限公司、夹江县巨星农牧有限公司</w:t>
      </w:r>
      <w:r>
        <w:rPr>
          <w:rFonts w:hint="default" w:ascii="Times New Roman" w:hAnsi="Times New Roman" w:eastAsia="仿宋_GB2312" w:cs="Times New Roman"/>
          <w:b w:val="0"/>
          <w:bCs w:val="0"/>
          <w:color w:val="auto"/>
          <w:highlight w:val="none"/>
          <w:lang w:val="en-US" w:eastAsia="zh-CN"/>
        </w:rPr>
        <w:t>、夹江天农食品有限公司</w:t>
      </w:r>
      <w:r>
        <w:rPr>
          <w:rFonts w:hint="default" w:ascii="Times New Roman" w:hAnsi="Times New Roman" w:eastAsia="仿宋_GB2312" w:cs="Times New Roman"/>
          <w:color w:val="auto"/>
          <w:highlight w:val="none"/>
          <w:lang w:val="en-US" w:eastAsia="zh-CN"/>
        </w:rPr>
        <w:t>为代表的企业，有望获得政府在土地、金融、科技等方面的专项支持。通过整合“饲料—养殖—屠宰—加工—销售—餐饮”等产业链环节，凭借技术创新与产业集群的协同发展，深入挖掘夹江县特色畜牧业资源优势与品牌价值，布局绿色循环经济，推进畜牧数字化、智能化转型，引领夹江县畜牧产业实现高质量发展。</w:t>
      </w:r>
    </w:p>
    <w:p w14:paraId="5CA7E299">
      <w:pPr>
        <w:pageBreakBefore w:val="0"/>
        <w:widowControl w:val="0"/>
        <w:kinsoku/>
        <w:wordWrap/>
        <w:overflowPunct/>
        <w:topLinePunct w:val="0"/>
        <w:autoSpaceDE/>
        <w:autoSpaceDN/>
        <w:bidi w:val="0"/>
        <w:adjustRightInd w:val="0"/>
        <w:snapToGrid w:val="0"/>
        <w:spacing w:line="600" w:lineRule="exact"/>
        <w:jc w:val="both"/>
        <w:textAlignment w:val="auto"/>
        <w:rPr>
          <w:rStyle w:val="19"/>
          <w:rFonts w:hint="default" w:ascii="Times New Roman" w:hAnsi="Times New Roman" w:eastAsia="仿宋_GB2312" w:cs="Times New Roman"/>
          <w:b w:val="0"/>
          <w:bCs w:val="0"/>
          <w:color w:val="auto"/>
          <w:szCs w:val="32"/>
          <w:highlight w:val="none"/>
          <w:u w:val="none"/>
          <w:lang w:val="en-US" w:eastAsia="zh-CN"/>
        </w:rPr>
      </w:pPr>
    </w:p>
    <w:p w14:paraId="0EF5237E">
      <w:pPr>
        <w:pageBreakBefore w:val="0"/>
        <w:widowControl w:val="0"/>
        <w:kinsoku/>
        <w:wordWrap/>
        <w:overflowPunct/>
        <w:topLinePunct w:val="0"/>
        <w:autoSpaceDE/>
        <w:autoSpaceDN/>
        <w:bidi w:val="0"/>
        <w:adjustRightInd w:val="0"/>
        <w:snapToGrid w:val="0"/>
        <w:spacing w:line="600" w:lineRule="exact"/>
        <w:jc w:val="both"/>
        <w:textAlignment w:val="auto"/>
        <w:rPr>
          <w:rStyle w:val="19"/>
          <w:rFonts w:hint="default" w:ascii="Times New Roman" w:hAnsi="Times New Roman" w:eastAsia="黑体" w:cs="Times New Roman"/>
          <w:b w:val="0"/>
          <w:bCs w:val="0"/>
          <w:color w:val="auto"/>
          <w:szCs w:val="32"/>
          <w:highlight w:val="none"/>
          <w:u w:val="none"/>
          <w:lang w:val="en-US" w:eastAsia="zh-CN"/>
        </w:rPr>
      </w:pPr>
      <w:r>
        <w:rPr>
          <w:rStyle w:val="19"/>
          <w:rFonts w:hint="default" w:ascii="Times New Roman" w:hAnsi="Times New Roman" w:eastAsia="黑体" w:cs="Times New Roman"/>
          <w:b w:val="0"/>
          <w:bCs w:val="0"/>
          <w:color w:val="auto"/>
          <w:szCs w:val="32"/>
          <w:highlight w:val="none"/>
          <w:u w:val="none"/>
          <w:lang w:val="en-US" w:eastAsia="zh-CN"/>
        </w:rPr>
        <w:br w:type="page"/>
      </w:r>
    </w:p>
    <w:p w14:paraId="21CF7D5B">
      <w:pPr>
        <w:pStyle w:val="2"/>
        <w:bidi w:val="0"/>
        <w:rPr>
          <w:rStyle w:val="19"/>
          <w:rFonts w:hint="default" w:ascii="Times New Roman" w:hAnsi="Times New Roman" w:eastAsia="方正小标宋简体" w:cs="Times New Roman"/>
          <w:b w:val="0"/>
          <w:bCs w:val="0"/>
          <w:color w:val="auto"/>
          <w:szCs w:val="44"/>
          <w:highlight w:val="none"/>
          <w:u w:val="none"/>
          <w:lang w:val="en-US" w:eastAsia="zh-CN"/>
        </w:rPr>
      </w:pPr>
      <w:bookmarkStart w:id="25" w:name="_Toc31787"/>
      <w:bookmarkStart w:id="26" w:name="_Toc22168"/>
      <w:r>
        <w:rPr>
          <w:rStyle w:val="19"/>
          <w:rFonts w:hint="default" w:ascii="Times New Roman" w:hAnsi="Times New Roman" w:eastAsia="方正小标宋简体" w:cs="Times New Roman"/>
          <w:b w:val="0"/>
          <w:bCs w:val="0"/>
          <w:color w:val="auto"/>
          <w:szCs w:val="44"/>
          <w:highlight w:val="none"/>
          <w:u w:val="none"/>
          <w:lang w:val="en-US" w:eastAsia="zh-CN"/>
        </w:rPr>
        <w:fldChar w:fldCharType="begin"/>
      </w:r>
      <w:r>
        <w:rPr>
          <w:rStyle w:val="19"/>
          <w:rFonts w:hint="default" w:ascii="Times New Roman" w:hAnsi="Times New Roman" w:eastAsia="方正小标宋简体" w:cs="Times New Roman"/>
          <w:b w:val="0"/>
          <w:bCs w:val="0"/>
          <w:color w:val="auto"/>
          <w:szCs w:val="44"/>
          <w:highlight w:val="none"/>
          <w:u w:val="none"/>
          <w:lang w:val="en-US" w:eastAsia="zh-CN"/>
        </w:rPr>
        <w:instrText xml:space="preserve"> HYPERLINK \l "_Toc184626574" </w:instrText>
      </w:r>
      <w:r>
        <w:rPr>
          <w:rStyle w:val="19"/>
          <w:rFonts w:hint="default" w:ascii="Times New Roman" w:hAnsi="Times New Roman" w:eastAsia="方正小标宋简体" w:cs="Times New Roman"/>
          <w:b w:val="0"/>
          <w:bCs w:val="0"/>
          <w:color w:val="auto"/>
          <w:szCs w:val="44"/>
          <w:highlight w:val="none"/>
          <w:u w:val="none"/>
          <w:lang w:val="en-US" w:eastAsia="zh-CN"/>
        </w:rPr>
        <w:fldChar w:fldCharType="separate"/>
      </w:r>
      <w:r>
        <w:rPr>
          <w:rStyle w:val="19"/>
          <w:rFonts w:hint="default" w:ascii="Times New Roman" w:hAnsi="Times New Roman" w:eastAsia="方正小标宋简体" w:cs="Times New Roman"/>
          <w:b w:val="0"/>
          <w:bCs w:val="0"/>
          <w:color w:val="auto"/>
          <w:szCs w:val="44"/>
          <w:highlight w:val="none"/>
          <w:u w:val="none"/>
          <w:lang w:val="en-US" w:eastAsia="zh-CN"/>
        </w:rPr>
        <w:t>第二章</w:t>
      </w:r>
      <w:r>
        <w:rPr>
          <w:rStyle w:val="19"/>
          <w:rFonts w:hint="eastAsia" w:ascii="Times New Roman" w:hAnsi="Times New Roman" w:cs="Times New Roman"/>
          <w:b w:val="0"/>
          <w:bCs w:val="0"/>
          <w:color w:val="auto"/>
          <w:szCs w:val="44"/>
          <w:highlight w:val="none"/>
          <w:u w:val="none"/>
          <w:lang w:val="en-US" w:eastAsia="zh-CN"/>
        </w:rPr>
        <w:t xml:space="preserve"> </w:t>
      </w:r>
      <w:r>
        <w:rPr>
          <w:rStyle w:val="19"/>
          <w:rFonts w:hint="default" w:ascii="Times New Roman" w:hAnsi="Times New Roman" w:eastAsia="方正小标宋简体" w:cs="Times New Roman"/>
          <w:b w:val="0"/>
          <w:bCs w:val="0"/>
          <w:color w:val="auto"/>
          <w:szCs w:val="44"/>
          <w:highlight w:val="none"/>
          <w:u w:val="none"/>
          <w:lang w:val="en-US" w:eastAsia="zh-CN"/>
        </w:rPr>
        <w:t>总体要求</w:t>
      </w:r>
      <w:r>
        <w:rPr>
          <w:rStyle w:val="19"/>
          <w:rFonts w:hint="default" w:ascii="Times New Roman" w:hAnsi="Times New Roman" w:eastAsia="方正小标宋简体" w:cs="Times New Roman"/>
          <w:b w:val="0"/>
          <w:bCs w:val="0"/>
          <w:color w:val="auto"/>
          <w:szCs w:val="44"/>
          <w:highlight w:val="none"/>
          <w:u w:val="none"/>
          <w:lang w:val="en-US" w:eastAsia="zh-CN"/>
        </w:rPr>
        <w:fldChar w:fldCharType="end"/>
      </w:r>
      <w:bookmarkEnd w:id="25"/>
      <w:bookmarkEnd w:id="26"/>
    </w:p>
    <w:p w14:paraId="1C435504">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27" w:name="_Toc13985"/>
      <w:bookmarkStart w:id="28" w:name="_Toc31907"/>
      <w:r>
        <w:rPr>
          <w:rFonts w:hint="default" w:ascii="Times New Roman" w:hAnsi="Times New Roman" w:eastAsia="黑体" w:cs="Times New Roman"/>
          <w:b w:val="0"/>
          <w:bCs/>
          <w:strike w:val="0"/>
          <w:dstrike w:val="0"/>
          <w:color w:val="auto"/>
          <w:kern w:val="2"/>
          <w:sz w:val="32"/>
          <w:szCs w:val="32"/>
          <w:lang w:val="en-US" w:eastAsia="zh-CN" w:bidi="ar-SA"/>
        </w:rPr>
        <w:t>一、</w:t>
      </w:r>
      <w:r>
        <w:rPr>
          <w:rFonts w:hint="default" w:ascii="Times New Roman" w:hAnsi="Times New Roman" w:eastAsia="黑体" w:cs="Times New Roman"/>
          <w:b w:val="0"/>
          <w:bCs/>
          <w:strike w:val="0"/>
          <w:dstrike w:val="0"/>
          <w:color w:val="auto"/>
          <w:kern w:val="2"/>
          <w:sz w:val="32"/>
          <w:szCs w:val="32"/>
          <w:lang w:val="en-US" w:eastAsia="zh-CN" w:bidi="ar-SA"/>
        </w:rPr>
        <w:fldChar w:fldCharType="begin"/>
      </w:r>
      <w:r>
        <w:rPr>
          <w:rFonts w:hint="default" w:ascii="Times New Roman" w:hAnsi="Times New Roman" w:eastAsia="黑体" w:cs="Times New Roman"/>
          <w:b w:val="0"/>
          <w:bCs/>
          <w:strike w:val="0"/>
          <w:dstrike w:val="0"/>
          <w:color w:val="auto"/>
          <w:kern w:val="2"/>
          <w:sz w:val="32"/>
          <w:szCs w:val="32"/>
          <w:lang w:val="en-US" w:eastAsia="zh-CN" w:bidi="ar-SA"/>
        </w:rPr>
        <w:instrText xml:space="preserve"> HYPERLINK \l "_Toc184626575" </w:instrText>
      </w:r>
      <w:r>
        <w:rPr>
          <w:rFonts w:hint="default" w:ascii="Times New Roman" w:hAnsi="Times New Roman" w:eastAsia="黑体" w:cs="Times New Roman"/>
          <w:b w:val="0"/>
          <w:bCs/>
          <w:strike w:val="0"/>
          <w:dstrike w:val="0"/>
          <w:color w:val="auto"/>
          <w:kern w:val="2"/>
          <w:sz w:val="32"/>
          <w:szCs w:val="32"/>
          <w:lang w:val="en-US" w:eastAsia="zh-CN" w:bidi="ar-SA"/>
        </w:rPr>
        <w:fldChar w:fldCharType="separate"/>
      </w:r>
      <w:r>
        <w:rPr>
          <w:rFonts w:hint="default" w:ascii="Times New Roman" w:hAnsi="Times New Roman" w:eastAsia="黑体" w:cs="Times New Roman"/>
          <w:b w:val="0"/>
          <w:bCs/>
          <w:strike w:val="0"/>
          <w:dstrike w:val="0"/>
          <w:color w:val="auto"/>
          <w:kern w:val="2"/>
          <w:sz w:val="32"/>
          <w:szCs w:val="32"/>
          <w:lang w:val="en-US" w:eastAsia="zh-CN" w:bidi="ar-SA"/>
        </w:rPr>
        <w:t>指导思想</w:t>
      </w:r>
      <w:r>
        <w:rPr>
          <w:rFonts w:hint="default" w:ascii="Times New Roman" w:hAnsi="Times New Roman" w:eastAsia="黑体" w:cs="Times New Roman"/>
          <w:b w:val="0"/>
          <w:bCs/>
          <w:strike w:val="0"/>
          <w:dstrike w:val="0"/>
          <w:color w:val="auto"/>
          <w:kern w:val="2"/>
          <w:sz w:val="32"/>
          <w:szCs w:val="32"/>
          <w:lang w:val="en-US" w:eastAsia="zh-CN" w:bidi="ar-SA"/>
        </w:rPr>
        <w:fldChar w:fldCharType="end"/>
      </w:r>
      <w:bookmarkEnd w:id="27"/>
      <w:bookmarkEnd w:id="28"/>
    </w:p>
    <w:p w14:paraId="21C2AB77">
      <w:pPr>
        <w:keepNext w:val="0"/>
        <w:keepLines w:val="0"/>
        <w:pageBreakBefore w:val="0"/>
        <w:widowControl w:val="0"/>
        <w:suppressLineNumbers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sz w:val="32"/>
          <w:szCs w:val="32"/>
          <w:highlight w:val="none"/>
          <w:lang w:val="en-US" w:eastAsia="zh-CN"/>
        </w:rPr>
        <w:t>坚定以习近平新时代中国特色社会主义思想为指导，深入贯彻党的二十大和习近平总书记对四川工作系列重要指示精神，全面贯彻落实《国务院办公厅关于促进畜牧业高质量发展的意见》和省市关于畜牧业工作的各项决策部署，围绕“做强蛋鸡产业、做优生猪产业，做精特色畜禽产业”的战略部署，严格按照夹江县畜禽养殖禁养区、限养区及养殖区的空间布局，以高质量发展为主线，调优畜牧产业生产方式，推进畜牧新质生产力发展，以优化畜禽养殖布局、提升畜禽种业发展水平、提高畜禽养殖集约化程度、完善畜禽产品加工物流体系、做优做亮畜禽品牌、加强动物疫病防控为重点，建设以蛋鸡为主的产业生态圈，全面提升畜禽全产业链综合生产能力，重大动物疫病防控能力、可持续发展能力，实现全县畜牧业高质量发展。</w:t>
      </w:r>
    </w:p>
    <w:p w14:paraId="19C51B7C">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29" w:name="_Toc3480"/>
      <w:bookmarkStart w:id="30" w:name="_Toc11234"/>
      <w:r>
        <w:rPr>
          <w:rFonts w:hint="default" w:ascii="Times New Roman" w:hAnsi="Times New Roman" w:eastAsia="黑体" w:cs="Times New Roman"/>
          <w:b w:val="0"/>
          <w:bCs/>
          <w:strike w:val="0"/>
          <w:dstrike w:val="0"/>
          <w:color w:val="auto"/>
          <w:kern w:val="2"/>
          <w:sz w:val="32"/>
          <w:szCs w:val="32"/>
          <w:lang w:val="en-US" w:eastAsia="zh-CN" w:bidi="ar-SA"/>
        </w:rPr>
        <w:t>二、</w:t>
      </w:r>
      <w:r>
        <w:rPr>
          <w:rFonts w:hint="default" w:ascii="Times New Roman" w:hAnsi="Times New Roman" w:eastAsia="黑体" w:cs="Times New Roman"/>
          <w:b w:val="0"/>
          <w:bCs/>
          <w:strike w:val="0"/>
          <w:dstrike w:val="0"/>
          <w:color w:val="auto"/>
          <w:kern w:val="2"/>
          <w:sz w:val="32"/>
          <w:szCs w:val="32"/>
          <w:lang w:val="en-US" w:eastAsia="zh-CN" w:bidi="ar-SA"/>
        </w:rPr>
        <w:fldChar w:fldCharType="begin"/>
      </w:r>
      <w:r>
        <w:rPr>
          <w:rFonts w:hint="default" w:ascii="Times New Roman" w:hAnsi="Times New Roman" w:eastAsia="黑体" w:cs="Times New Roman"/>
          <w:b w:val="0"/>
          <w:bCs/>
          <w:strike w:val="0"/>
          <w:dstrike w:val="0"/>
          <w:color w:val="auto"/>
          <w:kern w:val="2"/>
          <w:sz w:val="32"/>
          <w:szCs w:val="32"/>
          <w:lang w:val="en-US" w:eastAsia="zh-CN" w:bidi="ar-SA"/>
        </w:rPr>
        <w:instrText xml:space="preserve"> HYPERLINK \l "_Toc184626576" </w:instrText>
      </w:r>
      <w:r>
        <w:rPr>
          <w:rFonts w:hint="default" w:ascii="Times New Roman" w:hAnsi="Times New Roman" w:eastAsia="黑体" w:cs="Times New Roman"/>
          <w:b w:val="0"/>
          <w:bCs/>
          <w:strike w:val="0"/>
          <w:dstrike w:val="0"/>
          <w:color w:val="auto"/>
          <w:kern w:val="2"/>
          <w:sz w:val="32"/>
          <w:szCs w:val="32"/>
          <w:lang w:val="en-US" w:eastAsia="zh-CN" w:bidi="ar-SA"/>
        </w:rPr>
        <w:fldChar w:fldCharType="separate"/>
      </w:r>
      <w:r>
        <w:rPr>
          <w:rFonts w:hint="default" w:ascii="Times New Roman" w:hAnsi="Times New Roman" w:eastAsia="黑体" w:cs="Times New Roman"/>
          <w:b w:val="0"/>
          <w:bCs/>
          <w:strike w:val="0"/>
          <w:dstrike w:val="0"/>
          <w:color w:val="auto"/>
          <w:kern w:val="2"/>
          <w:sz w:val="32"/>
          <w:szCs w:val="32"/>
          <w:lang w:val="en-US" w:eastAsia="zh-CN" w:bidi="ar-SA"/>
        </w:rPr>
        <w:t>基本原则</w:t>
      </w:r>
      <w:r>
        <w:rPr>
          <w:rFonts w:hint="default" w:ascii="Times New Roman" w:hAnsi="Times New Roman" w:eastAsia="黑体" w:cs="Times New Roman"/>
          <w:b w:val="0"/>
          <w:bCs/>
          <w:strike w:val="0"/>
          <w:dstrike w:val="0"/>
          <w:color w:val="auto"/>
          <w:kern w:val="2"/>
          <w:sz w:val="32"/>
          <w:szCs w:val="32"/>
          <w:lang w:val="en-US" w:eastAsia="zh-CN" w:bidi="ar-SA"/>
        </w:rPr>
        <w:fldChar w:fldCharType="end"/>
      </w:r>
      <w:bookmarkEnd w:id="29"/>
      <w:bookmarkEnd w:id="30"/>
    </w:p>
    <w:p w14:paraId="1A339B5B">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坚持优化布局，</w:t>
      </w:r>
      <w:r>
        <w:rPr>
          <w:rFonts w:hint="eastAsia" w:ascii="仿宋_GB2312" w:hAnsi="仿宋_GB2312" w:eastAsia="仿宋_GB2312" w:cs="仿宋_GB2312"/>
          <w:color w:val="auto"/>
          <w:sz w:val="32"/>
          <w:szCs w:val="32"/>
          <w:highlight w:val="none"/>
        </w:rPr>
        <w:t>绿色发展。</w:t>
      </w:r>
      <w:r>
        <w:rPr>
          <w:rFonts w:hint="eastAsia" w:ascii="仿宋_GB2312" w:hAnsi="仿宋_GB2312" w:eastAsia="仿宋_GB2312" w:cs="仿宋_GB2312"/>
          <w:color w:val="auto"/>
          <w:sz w:val="32"/>
          <w:szCs w:val="32"/>
          <w:highlight w:val="none"/>
          <w:lang w:val="en-US" w:eastAsia="zh-CN"/>
        </w:rPr>
        <w:t>综合考虑区域资源禀赋和畜禽生产基础，科学规划生猪、蛋鸡等畜禽生产布局。坚持养殖量与区域环境承载能力相协调，种养结合，提高秸秆饲料化利用水平和畜禽粪污资源化利用率，实现种养循环发展。</w:t>
      </w:r>
    </w:p>
    <w:p w14:paraId="622E0BA9">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坚持转变方式，提质增效。推动中小养殖场（户）发展标准化规模养殖，实现由分散、粗放养殖向集约化、标准化养殖转变。促进猪、蛋鸡及相关饲料生产企业转型升级，提升优质饲料供给保障能力。加强蛋鸡育繁推体系建设，实现由数量型向质量型转变。推行屠宰GMP和质量安全风险分级管理，实现养殖到屠宰安全</w:t>
      </w:r>
      <w:r>
        <w:rPr>
          <w:rFonts w:hint="eastAsia" w:ascii="仿宋_GB2312" w:hAnsi="仿宋_GB2312" w:eastAsia="仿宋_GB2312" w:cs="仿宋_GB2312"/>
          <w:color w:val="auto"/>
          <w:sz w:val="32"/>
          <w:szCs w:val="32"/>
          <w:highlight w:val="none"/>
        </w:rPr>
        <w:t>。</w:t>
      </w:r>
    </w:p>
    <w:p w14:paraId="27075562">
      <w:pPr>
        <w:keepNext w:val="0"/>
        <w:keepLines w:val="0"/>
        <w:pageBreakBefore w:val="0"/>
        <w:widowControl w:val="0"/>
        <w:shd w:val="clear"/>
        <w:kinsoku/>
        <w:wordWrap/>
        <w:overflowPunct/>
        <w:topLinePunct w:val="0"/>
        <w:autoSpaceDE/>
        <w:autoSpaceDN/>
        <w:bidi w:val="0"/>
        <w:adjustRightInd w:val="0"/>
        <w:snapToGrid w:val="0"/>
        <w:spacing w:line="600" w:lineRule="exact"/>
        <w:ind w:left="0" w:leftChars="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坚持龙头带动，产业融合。引育结合，做大做强蛋鸡和生猪链主企业，培育产业链企业梯度梯队，打造优质企业集群，构建产业生态。健全并推行股份制、契约式利益联结机制，依托龙头企业带动引领广大养殖户融入现代畜牧产业体系，带动农户增收致富，推进产业链和价值链建设促进一二、三产业融合。</w:t>
      </w:r>
    </w:p>
    <w:p w14:paraId="206335BB">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坚持夯实基础，保障安全。稳定动物防疫机构队伍，加强动物疫病监测预警、动物疫病预防控制、动物卫生监督执法、养殖投入品质量安全监管体系建设，提升生物安全防护水平，逐步净化养殖场主要动物疫病，保障产业健康发展。</w:t>
      </w:r>
    </w:p>
    <w:p w14:paraId="78FF46F2">
      <w:pPr>
        <w:keepNext w:val="0"/>
        <w:keepLines w:val="0"/>
        <w:pageBreakBefore w:val="0"/>
        <w:widowControl w:val="0"/>
        <w:suppressLineNumbers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坚持消费引领，政策支持。顺应消费结构升级趋势，满足市场畜禽产品多元化消费需求，以消费升级带动产业升级。优化资源配置，发挥市场在资源配置中的决定性作用，完善产业扶持政策和</w:t>
      </w:r>
      <w:r>
        <w:rPr>
          <w:rFonts w:hint="eastAsia" w:ascii="仿宋_GB2312" w:hAnsi="仿宋_GB2312" w:eastAsia="仿宋_GB2312" w:cs="仿宋_GB2312"/>
          <w:color w:val="auto"/>
          <w:kern w:val="0"/>
          <w:sz w:val="32"/>
          <w:szCs w:val="32"/>
          <w:highlight w:val="none"/>
          <w:lang w:val="en-US" w:eastAsia="zh-CN" w:bidi="ar"/>
        </w:rPr>
        <w:t>“政银保担”联动机制</w:t>
      </w:r>
      <w:r>
        <w:rPr>
          <w:rFonts w:hint="eastAsia" w:ascii="仿宋_GB2312" w:hAnsi="仿宋_GB2312" w:eastAsia="仿宋_GB2312" w:cs="仿宋_GB2312"/>
          <w:color w:val="auto"/>
          <w:sz w:val="32"/>
          <w:szCs w:val="32"/>
          <w:highlight w:val="none"/>
          <w:lang w:val="en-US" w:eastAsia="zh-CN"/>
        </w:rPr>
        <w:t>，为产业发展提供有力支撑。</w:t>
      </w:r>
    </w:p>
    <w:p w14:paraId="6FE63A47">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31" w:name="_Toc18157"/>
      <w:bookmarkStart w:id="32" w:name="_Toc23971"/>
      <w:r>
        <w:rPr>
          <w:rFonts w:hint="default" w:ascii="Times New Roman" w:hAnsi="Times New Roman" w:eastAsia="黑体" w:cs="Times New Roman"/>
          <w:b w:val="0"/>
          <w:bCs/>
          <w:strike w:val="0"/>
          <w:dstrike w:val="0"/>
          <w:color w:val="auto"/>
          <w:kern w:val="2"/>
          <w:sz w:val="32"/>
          <w:szCs w:val="32"/>
          <w:lang w:val="en-US" w:eastAsia="zh-CN" w:bidi="ar-SA"/>
        </w:rPr>
        <w:t>三、思路目标</w:t>
      </w:r>
      <w:bookmarkEnd w:id="31"/>
      <w:bookmarkEnd w:id="32"/>
    </w:p>
    <w:p w14:paraId="4EFC7BE5">
      <w:pPr>
        <w:pStyle w:val="4"/>
        <w:pageBreakBefore w:val="0"/>
        <w:widowControl w:val="0"/>
        <w:numPr>
          <w:ilvl w:val="0"/>
          <w:numId w:val="5"/>
        </w:numPr>
        <w:kinsoku/>
        <w:wordWrap/>
        <w:overflowPunct/>
        <w:topLinePunct w:val="0"/>
        <w:autoSpaceDE/>
        <w:autoSpaceDN/>
        <w:bidi w:val="0"/>
        <w:adjustRightInd w:val="0"/>
        <w:snapToGrid w:val="0"/>
        <w:spacing w:before="0" w:beforeLines="0" w:after="0" w:afterLines="0" w:line="600" w:lineRule="exact"/>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bookmarkStart w:id="33" w:name="_Toc13810"/>
      <w:r>
        <w:rPr>
          <w:rStyle w:val="19"/>
          <w:rFonts w:hint="default" w:ascii="Times New Roman" w:hAnsi="Times New Roman" w:eastAsia="仿宋" w:cs="Times New Roman"/>
          <w:bCs/>
          <w:strike w:val="0"/>
          <w:dstrike w:val="0"/>
          <w:color w:val="auto"/>
          <w:szCs w:val="32"/>
          <w:highlight w:val="none"/>
          <w:u w:val="none"/>
          <w:lang w:val="en-US" w:eastAsia="zh-CN"/>
        </w:rPr>
        <w:t>总体目标</w:t>
      </w:r>
      <w:bookmarkEnd w:id="33"/>
    </w:p>
    <w:p w14:paraId="0D326C96">
      <w:pPr>
        <w:keepNext w:val="0"/>
        <w:keepLines w:val="0"/>
        <w:pageBreakBefore w:val="0"/>
        <w:widowControl w:val="0"/>
        <w:suppressLineNumbers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全县畜牧综合生产能力稳步提升，产业结构持续优化，</w:t>
      </w:r>
      <w:r>
        <w:rPr>
          <w:rFonts w:hint="default" w:ascii="Times New Roman" w:hAnsi="Times New Roman" w:eastAsia="仿宋_GB2312" w:cs="Times New Roman"/>
          <w:color w:val="auto"/>
          <w:sz w:val="32"/>
          <w:szCs w:val="32"/>
          <w:highlight w:val="none"/>
        </w:rPr>
        <w:t>区域布局更加</w:t>
      </w:r>
      <w:r>
        <w:rPr>
          <w:rFonts w:hint="default" w:ascii="Times New Roman" w:hAnsi="Times New Roman" w:eastAsia="仿宋_GB2312" w:cs="Times New Roman"/>
          <w:color w:val="auto"/>
          <w:sz w:val="32"/>
          <w:szCs w:val="32"/>
          <w:highlight w:val="none"/>
          <w:lang w:eastAsia="zh-CN"/>
        </w:rPr>
        <w:t>合理，</w:t>
      </w:r>
      <w:r>
        <w:rPr>
          <w:rFonts w:hint="default" w:ascii="Times New Roman" w:hAnsi="Times New Roman" w:eastAsia="仿宋_GB2312" w:cs="Times New Roman"/>
          <w:color w:val="auto"/>
          <w:sz w:val="32"/>
          <w:szCs w:val="32"/>
          <w:highlight w:val="none"/>
          <w:lang w:val="en-US" w:eastAsia="zh-CN"/>
        </w:rPr>
        <w:t>转型升级不断加快，产业融合更加紧密，</w:t>
      </w:r>
      <w:r>
        <w:rPr>
          <w:rFonts w:hint="default" w:ascii="Times New Roman" w:hAnsi="Times New Roman" w:eastAsia="仿宋_GB2312" w:cs="Times New Roman"/>
          <w:color w:val="auto"/>
          <w:sz w:val="32"/>
          <w:szCs w:val="32"/>
          <w:highlight w:val="none"/>
          <w:lang w:eastAsia="zh-CN"/>
        </w:rPr>
        <w:t>畜禽</w:t>
      </w:r>
      <w:r>
        <w:rPr>
          <w:rFonts w:hint="default" w:ascii="Times New Roman" w:hAnsi="Times New Roman" w:eastAsia="仿宋_GB2312" w:cs="Times New Roman"/>
          <w:color w:val="auto"/>
          <w:sz w:val="32"/>
          <w:szCs w:val="32"/>
          <w:highlight w:val="none"/>
        </w:rPr>
        <w:t>产品供给能力、动物疫病防控能力、畜产品质量安全保障能力显著增强</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到2030年，全县通过实施</w:t>
      </w:r>
      <w:r>
        <w:rPr>
          <w:rFonts w:hint="default" w:ascii="Times New Roman" w:hAnsi="Times New Roman" w:eastAsia="仿宋_GB2312" w:cs="Times New Roman"/>
          <w:color w:val="auto"/>
          <w:highlight w:val="none"/>
          <w:lang w:val="en-US" w:eastAsia="zh-CN"/>
        </w:rPr>
        <w:t>现代种业提升</w:t>
      </w:r>
      <w:r>
        <w:rPr>
          <w:rFonts w:hint="default" w:ascii="Times New Roman" w:hAnsi="Times New Roman" w:eastAsia="仿宋_GB2312" w:cs="Times New Roman"/>
          <w:color w:val="auto"/>
          <w:highlight w:val="none"/>
        </w:rPr>
        <w:t>工程、</w:t>
      </w:r>
      <w:r>
        <w:rPr>
          <w:rFonts w:hint="default" w:ascii="Times New Roman" w:hAnsi="Times New Roman" w:eastAsia="仿宋_GB2312" w:cs="Times New Roman"/>
          <w:color w:val="auto"/>
          <w:highlight w:val="none"/>
          <w:lang w:val="en-US" w:eastAsia="zh-CN"/>
        </w:rPr>
        <w:t>现代化养殖基地扩面工程</w:t>
      </w: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highlight w:val="none"/>
          <w:lang w:val="en-US" w:eastAsia="zh-CN"/>
        </w:rPr>
        <w:t>精深加工能力提升</w:t>
      </w:r>
      <w:r>
        <w:rPr>
          <w:rFonts w:hint="default" w:ascii="Times New Roman" w:hAnsi="Times New Roman" w:eastAsia="仿宋_GB2312" w:cs="Times New Roman"/>
          <w:color w:val="auto"/>
          <w:highlight w:val="none"/>
        </w:rPr>
        <w:t>工程、</w:t>
      </w:r>
      <w:r>
        <w:rPr>
          <w:rFonts w:hint="default" w:ascii="Times New Roman" w:hAnsi="Times New Roman" w:eastAsia="仿宋_GB2312" w:cs="Times New Roman"/>
          <w:color w:val="auto"/>
          <w:highlight w:val="none"/>
          <w:lang w:val="en-US" w:eastAsia="zh-CN"/>
        </w:rPr>
        <w:t>商贸物流增效</w:t>
      </w:r>
      <w:r>
        <w:rPr>
          <w:rFonts w:hint="default" w:ascii="Times New Roman" w:hAnsi="Times New Roman" w:eastAsia="仿宋_GB2312" w:cs="Times New Roman"/>
          <w:color w:val="auto"/>
          <w:highlight w:val="none"/>
        </w:rPr>
        <w:t>工程</w:t>
      </w:r>
      <w:r>
        <w:rPr>
          <w:rFonts w:hint="default" w:ascii="Times New Roman" w:hAnsi="Times New Roman" w:eastAsia="仿宋_GB2312" w:cs="Times New Roman"/>
          <w:color w:val="auto"/>
          <w:highlight w:val="none"/>
          <w:lang w:val="en-US" w:eastAsia="zh-CN"/>
        </w:rPr>
        <w:t>、畜禽养殖污染治理</w:t>
      </w:r>
      <w:r>
        <w:rPr>
          <w:rFonts w:hint="default" w:ascii="Times New Roman" w:hAnsi="Times New Roman" w:eastAsia="仿宋_GB2312" w:cs="Times New Roman"/>
          <w:color w:val="auto"/>
          <w:highlight w:val="none"/>
        </w:rPr>
        <w:t>工程</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lang w:val="en-US" w:eastAsia="zh-CN"/>
        </w:rPr>
        <w:t>公共服务体系工程</w:t>
      </w:r>
      <w:r>
        <w:rPr>
          <w:rFonts w:hint="default" w:ascii="Times New Roman" w:hAnsi="Times New Roman" w:eastAsia="仿宋_GB2312" w:cs="Times New Roman"/>
          <w:color w:val="auto"/>
          <w:sz w:val="32"/>
          <w:szCs w:val="32"/>
          <w:highlight w:val="none"/>
          <w:lang w:val="en-US" w:eastAsia="zh-CN"/>
        </w:rPr>
        <w:t>。坚持“强链筑基、融合增效”路径，突出“生态养殖、品质引领”特色，强化“数智驱动”支撑，全力将夹江县打造成为成都平原经济区现代畜牧业高质量发展特色样板。按照“圈链化、集群化”思路，建成全省蛋鸡现代化养殖基地核心区、蛋制品和禽肉精深加工基地、国家禽蛋交易中心，构建“育繁推、养加销”蛋鸡全产业链发展新格局。将蛋鸡产业打造成全县农业优势的主导产业、循环经济的核心产业、潜力巨大的富民产业。</w:t>
      </w:r>
    </w:p>
    <w:p w14:paraId="63A00482">
      <w:pPr>
        <w:pStyle w:val="4"/>
        <w:pageBreakBefore w:val="0"/>
        <w:widowControl w:val="0"/>
        <w:numPr>
          <w:ilvl w:val="0"/>
          <w:numId w:val="5"/>
        </w:numPr>
        <w:kinsoku/>
        <w:wordWrap/>
        <w:overflowPunct/>
        <w:topLinePunct w:val="0"/>
        <w:autoSpaceDE/>
        <w:autoSpaceDN/>
        <w:bidi w:val="0"/>
        <w:adjustRightInd w:val="0"/>
        <w:snapToGrid w:val="0"/>
        <w:spacing w:before="0" w:beforeLines="0" w:after="0" w:afterLines="0" w:line="600" w:lineRule="exact"/>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bookmarkStart w:id="34" w:name="_Toc22217"/>
      <w:r>
        <w:rPr>
          <w:rStyle w:val="19"/>
          <w:rFonts w:hint="default" w:ascii="Times New Roman" w:hAnsi="Times New Roman" w:eastAsia="仿宋" w:cs="Times New Roman"/>
          <w:bCs/>
          <w:strike w:val="0"/>
          <w:dstrike w:val="0"/>
          <w:color w:val="auto"/>
          <w:szCs w:val="32"/>
          <w:highlight w:val="none"/>
          <w:u w:val="none"/>
          <w:lang w:val="en-US" w:eastAsia="zh-CN"/>
        </w:rPr>
        <w:t>具体目标</w:t>
      </w:r>
      <w:bookmarkEnd w:id="34"/>
    </w:p>
    <w:p w14:paraId="5A088A11">
      <w:pPr>
        <w:keepNext w:val="0"/>
        <w:keepLines w:val="0"/>
        <w:pageBreakBefore w:val="0"/>
        <w:widowControl w:val="0"/>
        <w:suppressLineNumbers w:val="0"/>
        <w:kinsoku/>
        <w:wordWrap/>
        <w:overflowPunct/>
        <w:topLinePunct w:val="0"/>
        <w:autoSpaceDE/>
        <w:autoSpaceDN/>
        <w:bidi w:val="0"/>
        <w:adjustRightInd w:val="0"/>
        <w:snapToGrid w:val="0"/>
        <w:spacing w:line="600" w:lineRule="exact"/>
        <w:ind w:left="0" w:leftChars="0" w:firstLine="643"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lang w:val="en-US" w:eastAsia="zh-CN"/>
        </w:rPr>
        <w:t>生产总量保持稳定。</w:t>
      </w:r>
      <w:r>
        <w:rPr>
          <w:rFonts w:hint="default" w:ascii="Times New Roman" w:hAnsi="Times New Roman" w:eastAsia="仿宋_GB2312" w:cs="Times New Roman"/>
          <w:color w:val="auto"/>
          <w:sz w:val="32"/>
          <w:szCs w:val="32"/>
          <w:highlight w:val="none"/>
          <w:lang w:val="en-US" w:eastAsia="zh-CN"/>
        </w:rPr>
        <w:t>到2030年，全县生猪出栏量</w:t>
      </w:r>
      <w:r>
        <w:rPr>
          <w:rFonts w:hint="eastAsia" w:ascii="Times New Roman" w:hAnsi="Times New Roman" w:cs="Times New Roman"/>
          <w:color w:val="auto"/>
          <w:sz w:val="32"/>
          <w:szCs w:val="32"/>
          <w:highlight w:val="none"/>
          <w:lang w:val="en-US" w:eastAsia="zh-CN"/>
        </w:rPr>
        <w:t>达22.3万头以上，</w:t>
      </w:r>
      <w:r>
        <w:rPr>
          <w:rFonts w:hint="default" w:ascii="Times New Roman" w:hAnsi="Times New Roman" w:eastAsia="仿宋_GB2312" w:cs="Times New Roman"/>
          <w:color w:val="auto"/>
          <w:sz w:val="32"/>
          <w:szCs w:val="32"/>
          <w:highlight w:val="none"/>
          <w:lang w:val="en-US" w:eastAsia="zh-CN"/>
        </w:rPr>
        <w:t>蛋鸡存栏突破1</w:t>
      </w:r>
      <w:r>
        <w:rPr>
          <w:rFonts w:hint="eastAsia" w:ascii="Times New Roman" w:hAnsi="Times New Roman"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val="en-US" w:eastAsia="zh-CN"/>
        </w:rPr>
        <w:t>00万只，牛</w:t>
      </w:r>
      <w:r>
        <w:rPr>
          <w:rFonts w:hint="eastAsia" w:ascii="Times New Roman" w:hAnsi="Times New Roman" w:cs="Times New Roman"/>
          <w:color w:val="auto"/>
          <w:sz w:val="32"/>
          <w:szCs w:val="32"/>
          <w:highlight w:val="none"/>
          <w:lang w:val="en-US" w:eastAsia="zh-CN"/>
        </w:rPr>
        <w:t>羊</w:t>
      </w:r>
      <w:r>
        <w:rPr>
          <w:rFonts w:hint="default" w:ascii="Times New Roman" w:hAnsi="Times New Roman" w:eastAsia="仿宋_GB2312" w:cs="Times New Roman"/>
          <w:color w:val="auto"/>
          <w:sz w:val="32"/>
          <w:szCs w:val="32"/>
          <w:highlight w:val="none"/>
          <w:lang w:val="en-US" w:eastAsia="zh-CN"/>
        </w:rPr>
        <w:t>兔鸭生产总体保持稳定</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全县主要畜禽产品（肉类）总产量44697吨，蛋类总产量82562吨。工业饲料供需平衡；规模化、标准化、产业化和组织化程度大幅提高；蛋鸡综合生产能力显著增强，为打造百亿级蛋鸡产业集群奠定基础。</w:t>
      </w:r>
    </w:p>
    <w:p w14:paraId="7C1477D0">
      <w:pPr>
        <w:pStyle w:val="6"/>
        <w:pageBreakBefore w:val="0"/>
        <w:widowControl w:val="0"/>
        <w:kinsoku/>
        <w:wordWrap/>
        <w:overflowPunct/>
        <w:topLinePunct w:val="0"/>
        <w:autoSpaceDE/>
        <w:autoSpaceDN/>
        <w:bidi w:val="0"/>
        <w:adjustRightInd w:val="0"/>
        <w:snapToGrid w:val="0"/>
        <w:spacing w:line="600" w:lineRule="exact"/>
        <w:ind w:left="0" w:leftChars="0" w:firstLine="643"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b/>
          <w:bCs/>
          <w:color w:val="auto"/>
          <w:sz w:val="32"/>
          <w:szCs w:val="32"/>
          <w:highlight w:val="none"/>
          <w:lang w:val="en-US" w:eastAsia="zh-CN"/>
        </w:rPr>
        <w:t>综合产值争创新高。</w:t>
      </w:r>
      <w:r>
        <w:rPr>
          <w:rFonts w:hint="default" w:ascii="Times New Roman" w:hAnsi="Times New Roman" w:eastAsia="仿宋_GB2312" w:cs="Times New Roman"/>
          <w:color w:val="auto"/>
          <w:sz w:val="32"/>
          <w:szCs w:val="32"/>
          <w:highlight w:val="none"/>
          <w:lang w:val="en-US" w:eastAsia="zh-CN"/>
        </w:rPr>
        <w:t>到2030年，全县</w:t>
      </w:r>
      <w:r>
        <w:rPr>
          <w:rFonts w:hint="default" w:ascii="Times New Roman" w:hAnsi="Times New Roman" w:eastAsia="仿宋_GB2312" w:cs="Times New Roman"/>
          <w:color w:val="auto"/>
          <w:sz w:val="32"/>
          <w:szCs w:val="32"/>
          <w:highlight w:val="none"/>
        </w:rPr>
        <w:t>实现</w:t>
      </w:r>
      <w:r>
        <w:rPr>
          <w:rFonts w:hint="default" w:ascii="Times New Roman" w:hAnsi="Times New Roman" w:eastAsia="仿宋_GB2312" w:cs="Times New Roman"/>
          <w:color w:val="auto"/>
          <w:sz w:val="32"/>
          <w:szCs w:val="32"/>
          <w:highlight w:val="none"/>
          <w:lang w:val="en-US" w:eastAsia="zh-CN"/>
        </w:rPr>
        <w:t>畜牧业总</w:t>
      </w:r>
      <w:r>
        <w:rPr>
          <w:rFonts w:hint="default" w:ascii="Times New Roman" w:hAnsi="Times New Roman" w:eastAsia="仿宋_GB2312" w:cs="Times New Roman"/>
          <w:color w:val="auto"/>
          <w:sz w:val="32"/>
          <w:szCs w:val="32"/>
          <w:highlight w:val="none"/>
        </w:rPr>
        <w:t>产值</w:t>
      </w:r>
      <w:r>
        <w:rPr>
          <w:rFonts w:hint="default" w:ascii="Times New Roman" w:hAnsi="Times New Roman" w:eastAsia="仿宋_GB2312" w:cs="Times New Roman"/>
          <w:color w:val="auto"/>
          <w:sz w:val="32"/>
          <w:szCs w:val="32"/>
          <w:highlight w:val="none"/>
          <w:lang w:val="en-US" w:eastAsia="zh-CN"/>
        </w:rPr>
        <w:t>突破15</w:t>
      </w:r>
      <w:r>
        <w:rPr>
          <w:rFonts w:hint="default" w:ascii="Times New Roman" w:hAnsi="Times New Roman" w:eastAsia="仿宋_GB2312" w:cs="Times New Roman"/>
          <w:color w:val="auto"/>
          <w:sz w:val="32"/>
          <w:szCs w:val="32"/>
          <w:highlight w:val="none"/>
        </w:rPr>
        <w:t>亿元，畜牧业产值占农业总产值的</w:t>
      </w:r>
      <w:r>
        <w:rPr>
          <w:rFonts w:hint="default" w:ascii="Times New Roman" w:hAnsi="Times New Roman" w:eastAsia="仿宋_GB2312" w:cs="Times New Roman"/>
          <w:color w:val="auto"/>
          <w:sz w:val="32"/>
          <w:szCs w:val="32"/>
          <w:highlight w:val="none"/>
          <w:lang w:val="en-US" w:eastAsia="zh-CN"/>
        </w:rPr>
        <w:t>27</w:t>
      </w:r>
      <w:r>
        <w:rPr>
          <w:rFonts w:hint="default" w:ascii="Times New Roman" w:hAnsi="Times New Roman" w:eastAsia="仿宋_GB2312" w:cs="Times New Roman"/>
          <w:color w:val="auto"/>
          <w:sz w:val="32"/>
          <w:szCs w:val="32"/>
          <w:highlight w:val="none"/>
        </w:rPr>
        <w:t>%左右，</w:t>
      </w:r>
      <w:r>
        <w:rPr>
          <w:rFonts w:hint="default" w:ascii="Times New Roman" w:hAnsi="Times New Roman" w:eastAsia="仿宋_GB2312" w:cs="Times New Roman"/>
          <w:color w:val="auto"/>
          <w:sz w:val="32"/>
          <w:szCs w:val="32"/>
          <w:highlight w:val="none"/>
          <w:lang w:val="en-US" w:eastAsia="zh-CN"/>
        </w:rPr>
        <w:t>全县蛋鸡</w:t>
      </w:r>
      <w:r>
        <w:rPr>
          <w:rFonts w:hint="eastAsia" w:ascii="Times New Roman" w:hAnsi="Times New Roman" w:cs="Times New Roman"/>
          <w:color w:val="auto"/>
          <w:sz w:val="32"/>
          <w:szCs w:val="32"/>
          <w:highlight w:val="none"/>
          <w:lang w:val="en-US" w:eastAsia="zh-CN"/>
        </w:rPr>
        <w:t>一二三产业综合</w:t>
      </w:r>
      <w:r>
        <w:rPr>
          <w:rFonts w:hint="default" w:ascii="Times New Roman" w:hAnsi="Times New Roman" w:eastAsia="仿宋_GB2312" w:cs="Times New Roman"/>
          <w:color w:val="auto"/>
          <w:sz w:val="32"/>
          <w:szCs w:val="32"/>
          <w:highlight w:val="none"/>
          <w:lang w:val="en-US" w:eastAsia="zh-CN"/>
        </w:rPr>
        <w:t>产值力争达到100亿元。按“兴蛋鸡、稳生猪”思路，调整优化生产结构，打造全国知名蛋鸡产品品牌1个以上，区域公用品牌1个，培育年产值亿元级产业化龙头企业1家。</w:t>
      </w:r>
    </w:p>
    <w:p w14:paraId="7B392543">
      <w:pPr>
        <w:keepNext w:val="0"/>
        <w:keepLines w:val="0"/>
        <w:pageBreakBefore w:val="0"/>
        <w:widowControl w:val="0"/>
        <w:suppressLineNumbers w:val="0"/>
        <w:kinsoku/>
        <w:wordWrap/>
        <w:overflowPunct/>
        <w:topLinePunct w:val="0"/>
        <w:autoSpaceDE/>
        <w:autoSpaceDN/>
        <w:bidi w:val="0"/>
        <w:adjustRightInd w:val="0"/>
        <w:snapToGrid w:val="0"/>
        <w:spacing w:line="600" w:lineRule="exact"/>
        <w:ind w:left="0" w:leftChars="0" w:firstLine="643"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发展质量显著提高。</w:t>
      </w:r>
      <w:r>
        <w:rPr>
          <w:rFonts w:hint="default" w:ascii="Times New Roman" w:hAnsi="Times New Roman" w:eastAsia="仿宋_GB2312" w:cs="Times New Roman"/>
          <w:color w:val="auto"/>
          <w:kern w:val="2"/>
          <w:sz w:val="32"/>
          <w:szCs w:val="32"/>
          <w:highlight w:val="none"/>
          <w:lang w:val="en-US" w:eastAsia="zh-CN" w:bidi="ar-SA"/>
        </w:rPr>
        <w:t>生猪年出栏500头以上规模养殖比例达68%以上，蛋鸡年出栏2.5万只以上规模养殖比例达95%以上，肉鸭年出栏3万只以上规模养殖比例达90%以上，肉兔年出栏1.5万只以上规模养殖比例达52%以上，肉牛年出栏100头以上规模养殖比例达68%以上。种养业布局更加合理，全县畜禽粪污综合利用率达92%以上，规模养殖场粪污处理设施装备配套率达到100%。</w:t>
      </w:r>
    </w:p>
    <w:p w14:paraId="78789AD3">
      <w:pPr>
        <w:keepNext w:val="0"/>
        <w:keepLines w:val="0"/>
        <w:pageBreakBefore w:val="0"/>
        <w:widowControl w:val="0"/>
        <w:suppressLineNumbers w:val="0"/>
        <w:kinsoku/>
        <w:wordWrap/>
        <w:overflowPunct/>
        <w:topLinePunct w:val="0"/>
        <w:autoSpaceDE/>
        <w:autoSpaceDN/>
        <w:bidi w:val="0"/>
        <w:adjustRightInd w:val="0"/>
        <w:snapToGrid w:val="0"/>
        <w:spacing w:line="600" w:lineRule="exact"/>
        <w:ind w:left="0" w:leftChars="0" w:firstLine="643"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农畜产品更加安全。</w:t>
      </w:r>
      <w:r>
        <w:rPr>
          <w:rFonts w:hint="default" w:ascii="Times New Roman" w:hAnsi="Times New Roman" w:eastAsia="仿宋_GB2312" w:cs="Times New Roman"/>
          <w:color w:val="auto"/>
          <w:kern w:val="2"/>
          <w:sz w:val="32"/>
          <w:szCs w:val="32"/>
          <w:highlight w:val="none"/>
          <w:lang w:val="en-US" w:eastAsia="zh-CN" w:bidi="ar-SA"/>
        </w:rPr>
        <w:t>建成完善的疫病防控体系和疫病可追溯制度，口蹄疫、高致病性禽流感和新城疫等重大动物疫病得到有效防控。全面建立畜禽产品质量检验检测体系和质量追溯体系，实现上市肉品安全可靠，保障人民群众“舌尖上的安全”。到2030年，全县不发生重大畜禽产品质量安全事件和养殖污染事件。全县重大动物疫病强制免疫率保持在100%、畜禽产品质量安全抽检合格率保持在100%。</w:t>
      </w:r>
    </w:p>
    <w:p w14:paraId="716982BD">
      <w:pPr>
        <w:pStyle w:val="6"/>
        <w:ind w:left="0" w:leftChars="0" w:firstLine="0" w:firstLineChars="0"/>
        <w:jc w:val="center"/>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kern w:val="2"/>
          <w:sz w:val="32"/>
          <w:szCs w:val="32"/>
          <w:highlight w:val="none"/>
          <w:lang w:val="en-US" w:eastAsia="zh-CN" w:bidi="ar-SA"/>
        </w:rPr>
        <w:t>夹江县“十五五”畜牧业发展主要指标规划表</w:t>
      </w:r>
    </w:p>
    <w:tbl>
      <w:tblPr>
        <w:tblStyle w:val="1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4"/>
        <w:gridCol w:w="2233"/>
        <w:gridCol w:w="1217"/>
        <w:gridCol w:w="1950"/>
        <w:gridCol w:w="1800"/>
        <w:gridCol w:w="982"/>
      </w:tblGrid>
      <w:tr w14:paraId="5665F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0174C">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 w:cs="Times New Roman"/>
                <w:b/>
                <w:bCs/>
                <w:i w:val="0"/>
                <w:iCs w:val="0"/>
                <w:color w:val="auto"/>
                <w:sz w:val="24"/>
                <w:szCs w:val="24"/>
                <w:highlight w:val="none"/>
                <w:u w:val="none"/>
              </w:rPr>
            </w:pPr>
            <w:r>
              <w:rPr>
                <w:rFonts w:hint="default" w:ascii="Times New Roman" w:hAnsi="Times New Roman" w:eastAsia="仿宋" w:cs="Times New Roman"/>
                <w:b/>
                <w:bCs/>
                <w:i w:val="0"/>
                <w:iCs w:val="0"/>
                <w:color w:val="auto"/>
                <w:kern w:val="0"/>
                <w:sz w:val="24"/>
                <w:szCs w:val="24"/>
                <w:highlight w:val="none"/>
                <w:u w:val="none"/>
                <w:lang w:val="en-US" w:eastAsia="zh-CN" w:bidi="ar"/>
              </w:rPr>
              <w:t>类别</w:t>
            </w: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AC4DB">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 w:cs="Times New Roman"/>
                <w:b/>
                <w:bCs/>
                <w:i w:val="0"/>
                <w:iCs w:val="0"/>
                <w:color w:val="auto"/>
                <w:sz w:val="24"/>
                <w:szCs w:val="24"/>
                <w:highlight w:val="none"/>
                <w:u w:val="none"/>
              </w:rPr>
            </w:pPr>
            <w:r>
              <w:rPr>
                <w:rFonts w:hint="default" w:ascii="Times New Roman" w:hAnsi="Times New Roman" w:eastAsia="仿宋" w:cs="Times New Roman"/>
                <w:b/>
                <w:bCs/>
                <w:i w:val="0"/>
                <w:iCs w:val="0"/>
                <w:color w:val="auto"/>
                <w:kern w:val="0"/>
                <w:sz w:val="24"/>
                <w:szCs w:val="24"/>
                <w:highlight w:val="none"/>
                <w:u w:val="none"/>
                <w:lang w:val="en-US" w:eastAsia="zh-CN" w:bidi="ar"/>
              </w:rPr>
              <w:t>指标</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82DC9">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 w:cs="Times New Roman"/>
                <w:b/>
                <w:bCs/>
                <w:i w:val="0"/>
                <w:iCs w:val="0"/>
                <w:color w:val="auto"/>
                <w:kern w:val="0"/>
                <w:sz w:val="24"/>
                <w:szCs w:val="24"/>
                <w:highlight w:val="none"/>
                <w:u w:val="none"/>
                <w:lang w:val="en-US" w:eastAsia="zh-CN" w:bidi="ar"/>
              </w:rPr>
            </w:pPr>
            <w:r>
              <w:rPr>
                <w:rFonts w:hint="default" w:ascii="Times New Roman" w:hAnsi="Times New Roman" w:eastAsia="仿宋" w:cs="Times New Roman"/>
                <w:b/>
                <w:bCs/>
                <w:i w:val="0"/>
                <w:iCs w:val="0"/>
                <w:color w:val="auto"/>
                <w:kern w:val="0"/>
                <w:sz w:val="24"/>
                <w:szCs w:val="24"/>
                <w:highlight w:val="none"/>
                <w:u w:val="none"/>
                <w:lang w:val="en-US" w:eastAsia="zh-CN" w:bidi="ar"/>
              </w:rPr>
              <w:t>单位</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9A5DE">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 w:cs="Times New Roman"/>
                <w:b/>
                <w:bCs/>
                <w:i w:val="0"/>
                <w:iCs w:val="0"/>
                <w:color w:val="auto"/>
                <w:kern w:val="0"/>
                <w:sz w:val="24"/>
                <w:szCs w:val="24"/>
                <w:highlight w:val="none"/>
                <w:u w:val="none"/>
                <w:lang w:val="en-US" w:eastAsia="zh-CN" w:bidi="ar"/>
              </w:rPr>
            </w:pPr>
            <w:r>
              <w:rPr>
                <w:rFonts w:hint="default" w:ascii="Times New Roman" w:hAnsi="Times New Roman" w:eastAsia="仿宋" w:cs="Times New Roman"/>
                <w:b/>
                <w:bCs/>
                <w:i w:val="0"/>
                <w:iCs w:val="0"/>
                <w:color w:val="auto"/>
                <w:kern w:val="0"/>
                <w:sz w:val="24"/>
                <w:szCs w:val="24"/>
                <w:highlight w:val="none"/>
                <w:u w:val="none"/>
                <w:lang w:val="en-US" w:eastAsia="zh-CN" w:bidi="ar"/>
              </w:rPr>
              <w:t>2025年基期值</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25A60">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 w:cs="Times New Roman"/>
                <w:b/>
                <w:bCs/>
                <w:i w:val="0"/>
                <w:iCs w:val="0"/>
                <w:color w:val="auto"/>
                <w:sz w:val="24"/>
                <w:szCs w:val="24"/>
                <w:highlight w:val="none"/>
                <w:u w:val="none"/>
              </w:rPr>
            </w:pPr>
            <w:r>
              <w:rPr>
                <w:rFonts w:hint="default" w:ascii="Times New Roman" w:hAnsi="Times New Roman" w:eastAsia="仿宋" w:cs="Times New Roman"/>
                <w:b/>
                <w:bCs/>
                <w:i w:val="0"/>
                <w:iCs w:val="0"/>
                <w:color w:val="auto"/>
                <w:kern w:val="0"/>
                <w:sz w:val="24"/>
                <w:szCs w:val="24"/>
                <w:highlight w:val="none"/>
                <w:u w:val="none"/>
                <w:lang w:val="en-US" w:eastAsia="zh-CN" w:bidi="ar"/>
              </w:rPr>
              <w:t>2030年目标值</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E332B">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仿宋" w:cs="Times New Roman"/>
                <w:b/>
                <w:bCs/>
                <w:i w:val="0"/>
                <w:iCs w:val="0"/>
                <w:color w:val="auto"/>
                <w:sz w:val="24"/>
                <w:szCs w:val="24"/>
                <w:highlight w:val="none"/>
                <w:u w:val="none"/>
              </w:rPr>
            </w:pPr>
            <w:r>
              <w:rPr>
                <w:rFonts w:hint="default" w:ascii="Times New Roman" w:hAnsi="Times New Roman" w:eastAsia="仿宋" w:cs="Times New Roman"/>
                <w:b/>
                <w:bCs/>
                <w:i w:val="0"/>
                <w:iCs w:val="0"/>
                <w:color w:val="auto"/>
                <w:kern w:val="0"/>
                <w:sz w:val="24"/>
                <w:szCs w:val="24"/>
                <w:highlight w:val="none"/>
                <w:u w:val="none"/>
                <w:lang w:val="en-US" w:eastAsia="zh-CN" w:bidi="ar"/>
              </w:rPr>
              <w:t>属性</w:t>
            </w:r>
          </w:p>
        </w:tc>
      </w:tr>
      <w:tr w14:paraId="40BF4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D7737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产业效益</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12CD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畜牧业总产值</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105A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亿元</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F1EA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lang w:val="en-US" w:eastAsia="zh-CN"/>
              </w:rPr>
            </w:pPr>
            <w:r>
              <w:rPr>
                <w:rFonts w:hint="default" w:ascii="Times New Roman" w:hAnsi="Times New Roman" w:cs="Times New Roman"/>
                <w:i w:val="0"/>
                <w:iCs w:val="0"/>
                <w:color w:val="auto"/>
                <w:sz w:val="24"/>
                <w:szCs w:val="24"/>
                <w:highlight w:val="none"/>
                <w:u w:val="none"/>
                <w:lang w:val="en-US" w:eastAsia="zh-CN"/>
              </w:rPr>
              <w:t>12.9</w:t>
            </w:r>
          </w:p>
        </w:tc>
        <w:tc>
          <w:tcPr>
            <w:tcW w:w="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CAF9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15.02</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DA54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预期性</w:t>
            </w:r>
          </w:p>
        </w:tc>
      </w:tr>
      <w:tr w14:paraId="659FE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CCF1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4"/>
                <w:szCs w:val="24"/>
                <w:highlight w:val="none"/>
                <w:u w:val="none"/>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D888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占农林牧渔总产值比重</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F5CE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778D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lang w:val="en-US"/>
              </w:rPr>
            </w:pPr>
            <w:r>
              <w:rPr>
                <w:rFonts w:hint="default" w:ascii="Times New Roman" w:hAnsi="Times New Roman" w:cs="Times New Roman"/>
                <w:i w:val="0"/>
                <w:iCs w:val="0"/>
                <w:color w:val="auto"/>
                <w:kern w:val="0"/>
                <w:sz w:val="24"/>
                <w:szCs w:val="24"/>
                <w:highlight w:val="none"/>
                <w:u w:val="none"/>
                <w:lang w:val="en-US" w:eastAsia="zh-CN" w:bidi="ar"/>
              </w:rPr>
              <w:t>23.93</w:t>
            </w:r>
          </w:p>
        </w:tc>
        <w:tc>
          <w:tcPr>
            <w:tcW w:w="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B2EC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26.76</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0402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预期性</w:t>
            </w:r>
          </w:p>
        </w:tc>
      </w:tr>
      <w:tr w14:paraId="622B3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9456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4"/>
                <w:szCs w:val="24"/>
                <w:highlight w:val="none"/>
                <w:u w:val="none"/>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2121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生猪出栏量</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3216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头</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996D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lang w:val="en-US" w:eastAsia="zh-CN"/>
              </w:rPr>
            </w:pPr>
            <w:r>
              <w:rPr>
                <w:rFonts w:hint="default" w:ascii="Times New Roman" w:hAnsi="Times New Roman" w:cs="Times New Roman"/>
                <w:i w:val="0"/>
                <w:iCs w:val="0"/>
                <w:color w:val="auto"/>
                <w:sz w:val="24"/>
                <w:szCs w:val="24"/>
                <w:highlight w:val="none"/>
                <w:u w:val="none"/>
                <w:lang w:val="en-US" w:eastAsia="zh-CN"/>
              </w:rPr>
              <w:t>201950</w:t>
            </w:r>
          </w:p>
        </w:tc>
        <w:tc>
          <w:tcPr>
            <w:tcW w:w="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5A6D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lang w:val="en-US"/>
              </w:rPr>
            </w:pPr>
            <w:r>
              <w:rPr>
                <w:rFonts w:hint="default" w:ascii="Times New Roman" w:hAnsi="Times New Roman" w:cs="Times New Roman"/>
                <w:i w:val="0"/>
                <w:iCs w:val="0"/>
                <w:color w:val="auto"/>
                <w:kern w:val="0"/>
                <w:sz w:val="24"/>
                <w:szCs w:val="24"/>
                <w:highlight w:val="none"/>
                <w:u w:val="none"/>
                <w:lang w:val="en-US" w:eastAsia="zh-CN" w:bidi="ar"/>
              </w:rPr>
              <w:t>223073</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53F7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预期性</w:t>
            </w:r>
          </w:p>
        </w:tc>
      </w:tr>
      <w:tr w14:paraId="54DBE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A30A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4"/>
                <w:szCs w:val="24"/>
                <w:highlight w:val="none"/>
                <w:u w:val="none"/>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CDD4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能繁母猪存栏量</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7968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头</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81DC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cs="Times New Roman"/>
                <w:i w:val="0"/>
                <w:iCs w:val="0"/>
                <w:color w:val="auto"/>
                <w:kern w:val="0"/>
                <w:sz w:val="24"/>
                <w:szCs w:val="24"/>
                <w:highlight w:val="none"/>
                <w:u w:val="none"/>
                <w:lang w:val="en-US" w:eastAsia="zh-CN" w:bidi="ar"/>
              </w:rPr>
            </w:pPr>
            <w:r>
              <w:rPr>
                <w:rFonts w:hint="default" w:ascii="Times New Roman" w:hAnsi="Times New Roman" w:cs="Times New Roman"/>
                <w:i w:val="0"/>
                <w:iCs w:val="0"/>
                <w:color w:val="auto"/>
                <w:kern w:val="0"/>
                <w:sz w:val="24"/>
                <w:szCs w:val="24"/>
                <w:highlight w:val="none"/>
                <w:u w:val="none"/>
                <w:lang w:val="en-US" w:eastAsia="zh-CN" w:bidi="ar"/>
              </w:rPr>
              <w:t>12327</w:t>
            </w:r>
          </w:p>
        </w:tc>
        <w:tc>
          <w:tcPr>
            <w:tcW w:w="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3443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cs="Times New Roman"/>
                <w:i w:val="0"/>
                <w:iCs w:val="0"/>
                <w:color w:val="auto"/>
                <w:kern w:val="0"/>
                <w:sz w:val="24"/>
                <w:szCs w:val="24"/>
                <w:highlight w:val="none"/>
                <w:u w:val="none"/>
                <w:lang w:val="en-US" w:eastAsia="zh-CN" w:bidi="ar"/>
              </w:rPr>
            </w:pPr>
            <w:r>
              <w:rPr>
                <w:rFonts w:hint="default" w:ascii="Times New Roman" w:hAnsi="Times New Roman" w:cs="Times New Roman"/>
                <w:i w:val="0"/>
                <w:iCs w:val="0"/>
                <w:color w:val="auto"/>
                <w:kern w:val="0"/>
                <w:sz w:val="24"/>
                <w:szCs w:val="24"/>
                <w:highlight w:val="none"/>
                <w:u w:val="none"/>
                <w:lang w:val="en-US" w:eastAsia="zh-CN" w:bidi="ar"/>
              </w:rPr>
              <w:t>18916</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BC04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预期性</w:t>
            </w:r>
          </w:p>
        </w:tc>
      </w:tr>
      <w:tr w14:paraId="734EA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4A80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4"/>
                <w:szCs w:val="24"/>
                <w:highlight w:val="none"/>
                <w:u w:val="none"/>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9451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蛋鸡存栏量</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5F72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2"/>
                <w:sz w:val="24"/>
                <w:szCs w:val="24"/>
                <w:highlight w:val="none"/>
                <w:u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只</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BD35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2"/>
                <w:sz w:val="24"/>
                <w:szCs w:val="24"/>
                <w:highlight w:val="none"/>
                <w:u w:val="none"/>
                <w:lang w:val="en-US" w:eastAsia="zh-CN" w:bidi="ar-SA"/>
              </w:rPr>
            </w:pPr>
            <w:r>
              <w:rPr>
                <w:rFonts w:hint="default" w:ascii="Times New Roman" w:hAnsi="Times New Roman" w:cs="Times New Roman"/>
                <w:i w:val="0"/>
                <w:iCs w:val="0"/>
                <w:color w:val="auto"/>
                <w:kern w:val="2"/>
                <w:sz w:val="24"/>
                <w:szCs w:val="24"/>
                <w:highlight w:val="none"/>
                <w:u w:val="none"/>
                <w:lang w:val="en-US" w:eastAsia="zh-CN" w:bidi="ar-SA"/>
              </w:rPr>
              <w:t>3574619</w:t>
            </w:r>
          </w:p>
        </w:tc>
        <w:tc>
          <w:tcPr>
            <w:tcW w:w="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9FB3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2"/>
                <w:sz w:val="24"/>
                <w:szCs w:val="24"/>
                <w:highlight w:val="none"/>
                <w:u w:val="none"/>
                <w:lang w:val="en-US" w:eastAsia="zh-CN" w:bidi="ar-SA"/>
              </w:rPr>
            </w:pPr>
            <w:r>
              <w:rPr>
                <w:rFonts w:hint="default" w:ascii="Times New Roman" w:hAnsi="Times New Roman" w:cs="Times New Roman"/>
                <w:i w:val="0"/>
                <w:iCs w:val="0"/>
                <w:color w:val="auto"/>
                <w:kern w:val="0"/>
                <w:sz w:val="24"/>
                <w:szCs w:val="24"/>
                <w:highlight w:val="none"/>
                <w:u w:val="none"/>
                <w:lang w:val="en-US" w:eastAsia="zh-CN" w:bidi="ar"/>
              </w:rPr>
              <w:t>1</w:t>
            </w:r>
            <w:r>
              <w:rPr>
                <w:rFonts w:hint="eastAsia" w:ascii="Times New Roman" w:hAnsi="Times New Roman" w:cs="Times New Roman"/>
                <w:i w:val="0"/>
                <w:iCs w:val="0"/>
                <w:color w:val="auto"/>
                <w:kern w:val="0"/>
                <w:sz w:val="24"/>
                <w:szCs w:val="24"/>
                <w:highlight w:val="none"/>
                <w:u w:val="none"/>
                <w:lang w:val="en-US" w:eastAsia="zh-CN" w:bidi="ar"/>
              </w:rPr>
              <w:t>3</w:t>
            </w:r>
            <w:r>
              <w:rPr>
                <w:rFonts w:hint="default" w:ascii="Times New Roman" w:hAnsi="Times New Roman" w:cs="Times New Roman"/>
                <w:i w:val="0"/>
                <w:iCs w:val="0"/>
                <w:color w:val="auto"/>
                <w:kern w:val="0"/>
                <w:sz w:val="24"/>
                <w:szCs w:val="24"/>
                <w:highlight w:val="none"/>
                <w:u w:val="none"/>
                <w:lang w:val="en-US" w:eastAsia="zh-CN" w:bidi="ar"/>
              </w:rPr>
              <w:t>000000</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7897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2"/>
                <w:sz w:val="24"/>
                <w:szCs w:val="24"/>
                <w:highlight w:val="none"/>
                <w:u w:val="none"/>
                <w:lang w:val="en-US" w:eastAsia="zh-CN" w:bidi="ar-SA"/>
              </w:rPr>
            </w:pPr>
            <w:r>
              <w:rPr>
                <w:rFonts w:hint="default" w:ascii="Times New Roman" w:hAnsi="Times New Roman" w:eastAsia="仿宋" w:cs="Times New Roman"/>
                <w:i w:val="0"/>
                <w:iCs w:val="0"/>
                <w:color w:val="auto"/>
                <w:kern w:val="0"/>
                <w:sz w:val="24"/>
                <w:szCs w:val="24"/>
                <w:highlight w:val="none"/>
                <w:u w:val="none"/>
                <w:lang w:val="en-US" w:eastAsia="zh-CN" w:bidi="ar"/>
              </w:rPr>
              <w:t>预期性</w:t>
            </w:r>
          </w:p>
        </w:tc>
      </w:tr>
      <w:tr w14:paraId="29E5B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15D7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4"/>
                <w:szCs w:val="24"/>
                <w:highlight w:val="none"/>
                <w:u w:val="none"/>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9541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肉牛出栏量</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8375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头</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C79F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lang w:val="en-US" w:eastAsia="zh-CN"/>
              </w:rPr>
            </w:pPr>
            <w:r>
              <w:rPr>
                <w:rFonts w:hint="default" w:ascii="Times New Roman" w:hAnsi="Times New Roman" w:cs="Times New Roman"/>
                <w:i w:val="0"/>
                <w:iCs w:val="0"/>
                <w:color w:val="auto"/>
                <w:sz w:val="24"/>
                <w:szCs w:val="24"/>
                <w:highlight w:val="none"/>
                <w:u w:val="none"/>
                <w:lang w:val="en-US" w:eastAsia="zh-CN"/>
              </w:rPr>
              <w:t>1700</w:t>
            </w:r>
          </w:p>
        </w:tc>
        <w:tc>
          <w:tcPr>
            <w:tcW w:w="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E3CE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lang w:val="en-US"/>
              </w:rPr>
            </w:pPr>
            <w:r>
              <w:rPr>
                <w:rFonts w:hint="default" w:ascii="Times New Roman" w:hAnsi="Times New Roman" w:cs="Times New Roman"/>
                <w:i w:val="0"/>
                <w:iCs w:val="0"/>
                <w:color w:val="auto"/>
                <w:kern w:val="0"/>
                <w:sz w:val="24"/>
                <w:szCs w:val="24"/>
                <w:highlight w:val="none"/>
                <w:u w:val="none"/>
                <w:lang w:val="en-US" w:eastAsia="zh-CN" w:bidi="ar"/>
              </w:rPr>
              <w:t>1852</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ED72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预期性</w:t>
            </w:r>
          </w:p>
        </w:tc>
      </w:tr>
      <w:tr w14:paraId="2695E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FF7B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4"/>
                <w:szCs w:val="24"/>
                <w:highlight w:val="none"/>
                <w:u w:val="none"/>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E255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羊出栏量</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D988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头</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7DD0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lang w:val="en-US" w:eastAsia="zh-CN"/>
              </w:rPr>
            </w:pPr>
            <w:r>
              <w:rPr>
                <w:rFonts w:hint="default" w:ascii="Times New Roman" w:hAnsi="Times New Roman" w:cs="Times New Roman"/>
                <w:i w:val="0"/>
                <w:iCs w:val="0"/>
                <w:color w:val="auto"/>
                <w:sz w:val="24"/>
                <w:szCs w:val="24"/>
                <w:highlight w:val="none"/>
                <w:u w:val="none"/>
                <w:lang w:val="en-US" w:eastAsia="zh-CN"/>
              </w:rPr>
              <w:t>2200</w:t>
            </w:r>
          </w:p>
        </w:tc>
        <w:tc>
          <w:tcPr>
            <w:tcW w:w="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6365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lang w:val="en-US"/>
              </w:rPr>
            </w:pPr>
            <w:r>
              <w:rPr>
                <w:rFonts w:hint="default" w:ascii="Times New Roman" w:hAnsi="Times New Roman" w:eastAsia="仿宋" w:cs="Times New Roman"/>
                <w:i w:val="0"/>
                <w:iCs w:val="0"/>
                <w:color w:val="auto"/>
                <w:kern w:val="0"/>
                <w:sz w:val="24"/>
                <w:szCs w:val="24"/>
                <w:highlight w:val="none"/>
                <w:u w:val="none"/>
                <w:lang w:val="en-US" w:eastAsia="zh-CN" w:bidi="ar"/>
              </w:rPr>
              <w:t>2</w:t>
            </w:r>
            <w:r>
              <w:rPr>
                <w:rFonts w:hint="default" w:ascii="Times New Roman" w:hAnsi="Times New Roman" w:cs="Times New Roman"/>
                <w:i w:val="0"/>
                <w:iCs w:val="0"/>
                <w:color w:val="auto"/>
                <w:kern w:val="0"/>
                <w:sz w:val="24"/>
                <w:szCs w:val="24"/>
                <w:highlight w:val="none"/>
                <w:u w:val="none"/>
                <w:lang w:val="en-US" w:eastAsia="zh-CN" w:bidi="ar"/>
              </w:rPr>
              <w:t>929</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995F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预期性</w:t>
            </w:r>
          </w:p>
        </w:tc>
      </w:tr>
      <w:tr w14:paraId="2E7A6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92E5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4"/>
                <w:szCs w:val="24"/>
                <w:highlight w:val="none"/>
                <w:u w:val="none"/>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CFF2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肉兔出栏量</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0C0D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只</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1997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lang w:val="en-US" w:eastAsia="zh-CN"/>
              </w:rPr>
            </w:pPr>
            <w:r>
              <w:rPr>
                <w:rFonts w:hint="default" w:ascii="Times New Roman" w:hAnsi="Times New Roman" w:cs="Times New Roman"/>
                <w:i w:val="0"/>
                <w:iCs w:val="0"/>
                <w:color w:val="auto"/>
                <w:sz w:val="24"/>
                <w:szCs w:val="24"/>
                <w:highlight w:val="none"/>
                <w:u w:val="none"/>
                <w:lang w:val="en-US" w:eastAsia="zh-CN"/>
              </w:rPr>
              <w:t>330000</w:t>
            </w:r>
          </w:p>
        </w:tc>
        <w:tc>
          <w:tcPr>
            <w:tcW w:w="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F0CA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lang w:val="en-US"/>
              </w:rPr>
            </w:pPr>
            <w:r>
              <w:rPr>
                <w:rFonts w:hint="default" w:ascii="Times New Roman" w:hAnsi="Times New Roman" w:cs="Times New Roman"/>
                <w:i w:val="0"/>
                <w:iCs w:val="0"/>
                <w:color w:val="auto"/>
                <w:kern w:val="0"/>
                <w:sz w:val="24"/>
                <w:szCs w:val="24"/>
                <w:highlight w:val="none"/>
                <w:u w:val="none"/>
                <w:lang w:val="en-US" w:eastAsia="zh-CN" w:bidi="ar"/>
              </w:rPr>
              <w:t>413620</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05EF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预期性</w:t>
            </w:r>
          </w:p>
        </w:tc>
      </w:tr>
      <w:tr w14:paraId="4C6D8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7CC99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4"/>
                <w:szCs w:val="24"/>
                <w:highlight w:val="none"/>
                <w:u w:val="none"/>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30C0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肉鸭出栏量</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595A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只</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4565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lang w:val="en-US" w:eastAsia="zh-CN"/>
              </w:rPr>
            </w:pPr>
            <w:r>
              <w:rPr>
                <w:rFonts w:hint="default" w:ascii="Times New Roman" w:hAnsi="Times New Roman" w:cs="Times New Roman"/>
                <w:i w:val="0"/>
                <w:iCs w:val="0"/>
                <w:color w:val="auto"/>
                <w:sz w:val="24"/>
                <w:szCs w:val="24"/>
                <w:highlight w:val="none"/>
                <w:u w:val="none"/>
                <w:lang w:val="en-US" w:eastAsia="zh-CN"/>
              </w:rPr>
              <w:t>1032751</w:t>
            </w:r>
          </w:p>
        </w:tc>
        <w:tc>
          <w:tcPr>
            <w:tcW w:w="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8040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lang w:val="en-US"/>
              </w:rPr>
            </w:pPr>
            <w:r>
              <w:rPr>
                <w:rFonts w:hint="default" w:ascii="Times New Roman" w:hAnsi="Times New Roman" w:cs="Times New Roman"/>
                <w:i w:val="0"/>
                <w:iCs w:val="0"/>
                <w:color w:val="auto"/>
                <w:kern w:val="0"/>
                <w:sz w:val="24"/>
                <w:szCs w:val="24"/>
                <w:highlight w:val="none"/>
                <w:u w:val="none"/>
                <w:lang w:val="en-US" w:eastAsia="zh-CN" w:bidi="ar"/>
              </w:rPr>
              <w:t>2245218</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D3EA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预期性</w:t>
            </w:r>
          </w:p>
        </w:tc>
      </w:tr>
      <w:tr w14:paraId="23E0F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16117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产品产量</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3B96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肉类总产量</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C231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吨</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17B9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lang w:val="en-US" w:eastAsia="zh-CN"/>
              </w:rPr>
            </w:pPr>
            <w:r>
              <w:rPr>
                <w:rFonts w:hint="default" w:ascii="Times New Roman" w:hAnsi="Times New Roman" w:cs="Times New Roman"/>
                <w:i w:val="0"/>
                <w:iCs w:val="0"/>
                <w:color w:val="auto"/>
                <w:sz w:val="24"/>
                <w:szCs w:val="24"/>
                <w:highlight w:val="none"/>
                <w:u w:val="none"/>
                <w:lang w:val="en-US" w:eastAsia="zh-CN"/>
              </w:rPr>
              <w:t>24400</w:t>
            </w:r>
          </w:p>
        </w:tc>
        <w:tc>
          <w:tcPr>
            <w:tcW w:w="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F583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44697</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E1C2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预期性</w:t>
            </w:r>
          </w:p>
        </w:tc>
      </w:tr>
      <w:tr w14:paraId="432FE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35C3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4"/>
                <w:szCs w:val="24"/>
                <w:highlight w:val="none"/>
                <w:u w:val="none"/>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CEE8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蛋类总产量</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82CF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吨</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E9E0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lang w:val="en-US" w:eastAsia="zh-CN"/>
              </w:rPr>
            </w:pPr>
            <w:r>
              <w:rPr>
                <w:rFonts w:hint="default" w:ascii="Times New Roman" w:hAnsi="Times New Roman" w:cs="Times New Roman"/>
                <w:i w:val="0"/>
                <w:iCs w:val="0"/>
                <w:color w:val="auto"/>
                <w:sz w:val="24"/>
                <w:szCs w:val="24"/>
                <w:highlight w:val="none"/>
                <w:u w:val="none"/>
                <w:lang w:val="en-US" w:eastAsia="zh-CN"/>
              </w:rPr>
              <w:t>30000</w:t>
            </w:r>
          </w:p>
        </w:tc>
        <w:tc>
          <w:tcPr>
            <w:tcW w:w="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54F5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lang w:val="en-US"/>
              </w:rPr>
            </w:pPr>
            <w:r>
              <w:rPr>
                <w:rFonts w:hint="default" w:ascii="Times New Roman" w:hAnsi="Times New Roman" w:cs="Times New Roman"/>
                <w:i w:val="0"/>
                <w:iCs w:val="0"/>
                <w:color w:val="auto"/>
                <w:kern w:val="0"/>
                <w:sz w:val="24"/>
                <w:szCs w:val="24"/>
                <w:highlight w:val="none"/>
                <w:u w:val="none"/>
                <w:lang w:val="en-US" w:eastAsia="zh-CN" w:bidi="ar"/>
              </w:rPr>
              <w:t>82562</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DCF7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预期性</w:t>
            </w:r>
          </w:p>
        </w:tc>
      </w:tr>
      <w:tr w14:paraId="3E321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E3C7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4"/>
                <w:szCs w:val="24"/>
                <w:highlight w:val="none"/>
                <w:u w:val="none"/>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8A02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奶类总产量</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8D9B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吨</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D4C3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lang w:val="en-US" w:eastAsia="zh-CN"/>
              </w:rPr>
            </w:pPr>
            <w:r>
              <w:rPr>
                <w:rFonts w:hint="default" w:ascii="Times New Roman" w:hAnsi="Times New Roman" w:cs="Times New Roman"/>
                <w:i w:val="0"/>
                <w:iCs w:val="0"/>
                <w:color w:val="auto"/>
                <w:sz w:val="24"/>
                <w:szCs w:val="24"/>
                <w:highlight w:val="none"/>
                <w:u w:val="none"/>
                <w:lang w:val="en-US" w:eastAsia="zh-CN"/>
              </w:rPr>
              <w:t>535</w:t>
            </w:r>
          </w:p>
        </w:tc>
        <w:tc>
          <w:tcPr>
            <w:tcW w:w="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7B72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616</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1121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预期性</w:t>
            </w:r>
          </w:p>
        </w:tc>
      </w:tr>
      <w:tr w14:paraId="1B69B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82" w:type="pct"/>
            <w:vMerge w:val="restart"/>
            <w:tcBorders>
              <w:top w:val="single" w:color="000000" w:sz="4" w:space="0"/>
              <w:left w:val="single" w:color="000000" w:sz="4" w:space="0"/>
              <w:bottom w:val="nil"/>
              <w:right w:val="single" w:color="000000" w:sz="4" w:space="0"/>
            </w:tcBorders>
            <w:shd w:val="clear" w:color="auto" w:fill="auto"/>
            <w:vAlign w:val="center"/>
          </w:tcPr>
          <w:p w14:paraId="211AD72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生态环保</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E6D2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畜禽粪污综合利用率</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6CA4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11F1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91.43</w:t>
            </w:r>
          </w:p>
        </w:tc>
        <w:tc>
          <w:tcPr>
            <w:tcW w:w="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8DDF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cs="Times New Roman"/>
                <w:i w:val="0"/>
                <w:iCs w:val="0"/>
                <w:color w:val="auto"/>
                <w:kern w:val="0"/>
                <w:sz w:val="24"/>
                <w:szCs w:val="24"/>
                <w:highlight w:val="none"/>
                <w:u w:val="none"/>
                <w:lang w:val="en-US" w:eastAsia="zh-CN" w:bidi="ar"/>
              </w:rPr>
              <w:t>&gt;</w:t>
            </w:r>
            <w:r>
              <w:rPr>
                <w:rFonts w:hint="default" w:ascii="Times New Roman" w:hAnsi="Times New Roman" w:eastAsia="仿宋" w:cs="Times New Roman"/>
                <w:i w:val="0"/>
                <w:iCs w:val="0"/>
                <w:color w:val="auto"/>
                <w:kern w:val="0"/>
                <w:sz w:val="24"/>
                <w:szCs w:val="24"/>
                <w:highlight w:val="none"/>
                <w:u w:val="none"/>
                <w:lang w:val="en-US" w:eastAsia="zh-CN" w:bidi="ar"/>
              </w:rPr>
              <w:t>92</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EB40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约束性</w:t>
            </w:r>
          </w:p>
        </w:tc>
      </w:tr>
      <w:tr w14:paraId="38EF2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82" w:type="pct"/>
            <w:vMerge w:val="continue"/>
            <w:tcBorders>
              <w:top w:val="single" w:color="000000" w:sz="4" w:space="0"/>
              <w:left w:val="single" w:color="000000" w:sz="4" w:space="0"/>
              <w:bottom w:val="nil"/>
              <w:right w:val="single" w:color="000000" w:sz="4" w:space="0"/>
            </w:tcBorders>
            <w:shd w:val="clear" w:color="auto" w:fill="auto"/>
            <w:vAlign w:val="center"/>
          </w:tcPr>
          <w:p w14:paraId="6E62A7B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4"/>
                <w:szCs w:val="24"/>
                <w:highlight w:val="none"/>
                <w:u w:val="none"/>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3D98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规模场粪污处理设施装备配套率</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B35A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3E1F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100</w:t>
            </w:r>
          </w:p>
        </w:tc>
        <w:tc>
          <w:tcPr>
            <w:tcW w:w="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72BF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100</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F871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约束性</w:t>
            </w:r>
          </w:p>
        </w:tc>
      </w:tr>
      <w:tr w14:paraId="2316F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82" w:type="pct"/>
            <w:vMerge w:val="continue"/>
            <w:tcBorders>
              <w:top w:val="single" w:color="000000" w:sz="4" w:space="0"/>
              <w:left w:val="single" w:color="000000" w:sz="4" w:space="0"/>
              <w:bottom w:val="nil"/>
              <w:right w:val="single" w:color="000000" w:sz="4" w:space="0"/>
            </w:tcBorders>
            <w:shd w:val="clear" w:color="auto" w:fill="auto"/>
            <w:vAlign w:val="center"/>
          </w:tcPr>
          <w:p w14:paraId="7706B1C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4"/>
                <w:szCs w:val="24"/>
                <w:highlight w:val="none"/>
                <w:u w:val="none"/>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6699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病死畜禽无害化处理率</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A855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62C8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100</w:t>
            </w:r>
          </w:p>
        </w:tc>
        <w:tc>
          <w:tcPr>
            <w:tcW w:w="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7CAA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100</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7001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约束性</w:t>
            </w:r>
          </w:p>
        </w:tc>
      </w:tr>
      <w:tr w14:paraId="33183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38500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质量安全</w:t>
            </w: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3B0C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全县重大动物疫病强制免疫率</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D3EA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95FA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lang w:val="en-US"/>
              </w:rPr>
            </w:pPr>
            <w:r>
              <w:rPr>
                <w:rFonts w:hint="default" w:ascii="Times New Roman" w:hAnsi="Times New Roman" w:cs="Times New Roman"/>
                <w:i w:val="0"/>
                <w:iCs w:val="0"/>
                <w:color w:val="auto"/>
                <w:kern w:val="0"/>
                <w:sz w:val="24"/>
                <w:szCs w:val="24"/>
                <w:highlight w:val="none"/>
                <w:u w:val="none"/>
                <w:lang w:val="en-US" w:eastAsia="zh-CN" w:bidi="ar"/>
              </w:rPr>
              <w:t>90</w:t>
            </w:r>
          </w:p>
        </w:tc>
        <w:tc>
          <w:tcPr>
            <w:tcW w:w="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277E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lang w:val="en-US"/>
              </w:rPr>
            </w:pPr>
            <w:r>
              <w:rPr>
                <w:rFonts w:hint="default" w:ascii="Times New Roman" w:hAnsi="Times New Roman" w:cs="Times New Roman"/>
                <w:i w:val="0"/>
                <w:iCs w:val="0"/>
                <w:color w:val="auto"/>
                <w:kern w:val="0"/>
                <w:sz w:val="24"/>
                <w:szCs w:val="24"/>
                <w:highlight w:val="none"/>
                <w:u w:val="none"/>
                <w:lang w:val="en-US" w:eastAsia="zh-CN" w:bidi="ar"/>
              </w:rPr>
              <w:t>&gt;95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8D8F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约束性</w:t>
            </w:r>
          </w:p>
        </w:tc>
      </w:tr>
      <w:tr w14:paraId="15AFA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6463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4"/>
                <w:szCs w:val="24"/>
                <w:highlight w:val="none"/>
                <w:u w:val="none"/>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44B1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4"/>
                <w:szCs w:val="24"/>
                <w:highlight w:val="none"/>
                <w:u w:val="none"/>
                <w:lang w:val="en-US" w:eastAsia="zh-CN" w:bidi="ar"/>
              </w:rPr>
            </w:pPr>
            <w:r>
              <w:rPr>
                <w:rFonts w:hint="default" w:ascii="Times New Roman" w:hAnsi="Times New Roman" w:eastAsia="仿宋" w:cs="Times New Roman"/>
                <w:i w:val="0"/>
                <w:iCs w:val="0"/>
                <w:color w:val="auto"/>
                <w:kern w:val="0"/>
                <w:sz w:val="24"/>
                <w:szCs w:val="24"/>
                <w:highlight w:val="none"/>
                <w:u w:val="none"/>
                <w:lang w:val="en-US" w:eastAsia="zh-CN" w:bidi="ar"/>
              </w:rPr>
              <w:t>应免畜禽强制免疫密度</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64CA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161F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99</w:t>
            </w:r>
          </w:p>
        </w:tc>
        <w:tc>
          <w:tcPr>
            <w:tcW w:w="9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6AF0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100</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10BC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4"/>
                <w:szCs w:val="24"/>
                <w:highlight w:val="none"/>
                <w:u w:val="none"/>
              </w:rPr>
            </w:pPr>
            <w:r>
              <w:rPr>
                <w:rFonts w:hint="default" w:ascii="Times New Roman" w:hAnsi="Times New Roman" w:eastAsia="仿宋" w:cs="Times New Roman"/>
                <w:i w:val="0"/>
                <w:iCs w:val="0"/>
                <w:color w:val="auto"/>
                <w:kern w:val="0"/>
                <w:sz w:val="24"/>
                <w:szCs w:val="24"/>
                <w:highlight w:val="none"/>
                <w:u w:val="none"/>
                <w:lang w:val="en-US" w:eastAsia="zh-CN" w:bidi="ar"/>
              </w:rPr>
              <w:t>约束性</w:t>
            </w:r>
          </w:p>
        </w:tc>
      </w:tr>
    </w:tbl>
    <w:p w14:paraId="09A5438A">
      <w:pPr>
        <w:pStyle w:val="2"/>
        <w:bidi w:val="0"/>
        <w:rPr>
          <w:rStyle w:val="19"/>
          <w:rFonts w:hint="default" w:ascii="Times New Roman" w:hAnsi="Times New Roman" w:eastAsia="方正小标宋简体" w:cs="Times New Roman"/>
          <w:b w:val="0"/>
          <w:bCs w:val="0"/>
          <w:color w:val="auto"/>
          <w:kern w:val="2"/>
          <w:sz w:val="44"/>
          <w:szCs w:val="44"/>
          <w:highlight w:val="none"/>
          <w:lang w:val="en-US" w:eastAsia="zh-CN" w:bidi="ar-SA"/>
        </w:rPr>
      </w:pPr>
      <w:r>
        <w:rPr>
          <w:rStyle w:val="19"/>
          <w:rFonts w:hint="default" w:ascii="Times New Roman" w:hAnsi="Times New Roman" w:eastAsia="黑体" w:cs="Times New Roman"/>
          <w:b w:val="0"/>
          <w:bCs w:val="0"/>
          <w:color w:val="auto"/>
          <w:szCs w:val="32"/>
          <w:highlight w:val="none"/>
          <w:u w:val="none"/>
          <w:lang w:val="en-US" w:eastAsia="zh-CN"/>
        </w:rPr>
        <w:br w:type="page"/>
      </w:r>
      <w:bookmarkStart w:id="35" w:name="_Toc21908"/>
      <w:bookmarkStart w:id="36" w:name="_Toc11711"/>
      <w:r>
        <w:rPr>
          <w:rStyle w:val="19"/>
          <w:rFonts w:hint="default" w:ascii="Times New Roman" w:hAnsi="Times New Roman" w:eastAsia="方正小标宋简体" w:cs="Times New Roman"/>
          <w:b w:val="0"/>
          <w:bCs w:val="0"/>
          <w:color w:val="auto"/>
          <w:szCs w:val="44"/>
          <w:highlight w:val="none"/>
          <w:u w:val="none"/>
          <w:lang w:val="en-US" w:eastAsia="zh-CN"/>
        </w:rPr>
        <w:fldChar w:fldCharType="begin"/>
      </w:r>
      <w:r>
        <w:rPr>
          <w:rStyle w:val="19"/>
          <w:rFonts w:hint="default" w:ascii="Times New Roman" w:hAnsi="Times New Roman" w:eastAsia="方正小标宋简体" w:cs="Times New Roman"/>
          <w:b w:val="0"/>
          <w:bCs w:val="0"/>
          <w:color w:val="auto"/>
          <w:szCs w:val="44"/>
          <w:highlight w:val="none"/>
          <w:u w:val="none"/>
          <w:lang w:val="en-US" w:eastAsia="zh-CN"/>
        </w:rPr>
        <w:instrText xml:space="preserve"> HYPERLINK \l "_Toc184626585" </w:instrText>
      </w:r>
      <w:r>
        <w:rPr>
          <w:rStyle w:val="19"/>
          <w:rFonts w:hint="default" w:ascii="Times New Roman" w:hAnsi="Times New Roman" w:eastAsia="方正小标宋简体" w:cs="Times New Roman"/>
          <w:b w:val="0"/>
          <w:bCs w:val="0"/>
          <w:color w:val="auto"/>
          <w:szCs w:val="44"/>
          <w:highlight w:val="none"/>
          <w:u w:val="none"/>
          <w:lang w:val="en-US" w:eastAsia="zh-CN"/>
        </w:rPr>
        <w:fldChar w:fldCharType="separate"/>
      </w:r>
      <w:r>
        <w:rPr>
          <w:rStyle w:val="19"/>
          <w:rFonts w:hint="default" w:ascii="Times New Roman" w:hAnsi="Times New Roman" w:eastAsia="方正小标宋简体" w:cs="Times New Roman"/>
          <w:b w:val="0"/>
          <w:bCs w:val="0"/>
          <w:color w:val="auto"/>
          <w:szCs w:val="44"/>
          <w:highlight w:val="none"/>
          <w:u w:val="none"/>
          <w:lang w:val="en-US" w:eastAsia="zh-CN"/>
        </w:rPr>
        <w:t>第三章</w:t>
      </w:r>
      <w:r>
        <w:rPr>
          <w:rStyle w:val="19"/>
          <w:rFonts w:hint="eastAsia" w:ascii="Times New Roman" w:hAnsi="Times New Roman" w:cs="Times New Roman"/>
          <w:b w:val="0"/>
          <w:bCs w:val="0"/>
          <w:color w:val="auto"/>
          <w:szCs w:val="44"/>
          <w:highlight w:val="none"/>
          <w:u w:val="none"/>
          <w:lang w:val="en-US" w:eastAsia="zh-CN"/>
        </w:rPr>
        <w:t xml:space="preserve"> </w:t>
      </w:r>
      <w:r>
        <w:rPr>
          <w:rStyle w:val="19"/>
          <w:rFonts w:hint="default" w:ascii="Times New Roman" w:hAnsi="Times New Roman" w:eastAsia="方正小标宋简体" w:cs="Times New Roman"/>
          <w:b w:val="0"/>
          <w:bCs w:val="0"/>
          <w:color w:val="auto"/>
          <w:szCs w:val="44"/>
          <w:highlight w:val="none"/>
          <w:u w:val="none"/>
          <w:lang w:val="en-US" w:eastAsia="zh-CN"/>
        </w:rPr>
        <w:t>规划布局</w:t>
      </w:r>
      <w:r>
        <w:rPr>
          <w:rStyle w:val="19"/>
          <w:rFonts w:hint="default" w:ascii="Times New Roman" w:hAnsi="Times New Roman" w:eastAsia="方正小标宋简体" w:cs="Times New Roman"/>
          <w:b w:val="0"/>
          <w:bCs w:val="0"/>
          <w:color w:val="auto"/>
          <w:szCs w:val="44"/>
          <w:highlight w:val="none"/>
          <w:u w:val="none"/>
          <w:lang w:val="en-US" w:eastAsia="zh-CN"/>
        </w:rPr>
        <w:fldChar w:fldCharType="end"/>
      </w:r>
      <w:bookmarkEnd w:id="35"/>
      <w:bookmarkEnd w:id="36"/>
    </w:p>
    <w:p w14:paraId="6394B448">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37" w:name="_Toc8984"/>
      <w:bookmarkStart w:id="38" w:name="_Toc13021"/>
      <w:r>
        <w:rPr>
          <w:rFonts w:hint="default" w:ascii="Times New Roman" w:hAnsi="Times New Roman" w:eastAsia="黑体" w:cs="Times New Roman"/>
          <w:b w:val="0"/>
          <w:bCs/>
          <w:strike w:val="0"/>
          <w:dstrike w:val="0"/>
          <w:color w:val="auto"/>
          <w:kern w:val="2"/>
          <w:sz w:val="32"/>
          <w:szCs w:val="32"/>
          <w:lang w:val="en-US" w:eastAsia="zh-CN" w:bidi="ar-SA"/>
        </w:rPr>
        <w:t>一、养殖区域布局</w:t>
      </w:r>
      <w:bookmarkEnd w:id="37"/>
      <w:bookmarkEnd w:id="38"/>
    </w:p>
    <w:p w14:paraId="1302FB73">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bookmarkStart w:id="39" w:name="_Toc8756"/>
      <w:r>
        <w:rPr>
          <w:rStyle w:val="19"/>
          <w:rFonts w:hint="eastAsia" w:ascii="Times New Roman" w:hAnsi="Times New Roman" w:eastAsia="仿宋" w:cs="Times New Roman"/>
          <w:bCs/>
          <w:strike w:val="0"/>
          <w:dstrike w:val="0"/>
          <w:color w:val="auto"/>
          <w:szCs w:val="32"/>
          <w:highlight w:val="none"/>
          <w:u w:val="none"/>
          <w:lang w:val="en-US" w:eastAsia="zh-CN"/>
        </w:rPr>
        <w:t>（</w:t>
      </w:r>
      <w:r>
        <w:rPr>
          <w:rStyle w:val="19"/>
          <w:rFonts w:hint="default" w:ascii="Times New Roman" w:hAnsi="Times New Roman" w:eastAsia="仿宋" w:cs="Times New Roman"/>
          <w:bCs/>
          <w:strike w:val="0"/>
          <w:dstrike w:val="0"/>
          <w:color w:val="auto"/>
          <w:szCs w:val="32"/>
          <w:highlight w:val="none"/>
          <w:u w:val="none"/>
          <w:lang w:val="en-US" w:eastAsia="zh-CN"/>
        </w:rPr>
        <w:t>一）布局原则</w:t>
      </w:r>
      <w:bookmarkEnd w:id="39"/>
    </w:p>
    <w:p w14:paraId="19DFB88C">
      <w:pPr>
        <w:pStyle w:val="6"/>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以优化畜禽养殖产业布局、控制农业面源污染、保障生态环境安全为目的，坚持统筹兼顾、科学可行、依法合规、以人为本原则，结合全县经济社会发展实际和区域环境承载容量，合理优化畜禽产业发展布局和规模，科学划定禁养区、限养区和养殖区。</w:t>
      </w:r>
    </w:p>
    <w:p w14:paraId="26F0C439">
      <w:pPr>
        <w:pStyle w:val="6"/>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1.禁养区。禁养区是按照法律法规、行政规章、条例等规定，由县级以上地方人民政府依法划定的禁止建设养殖场（小区）的区域。主要包括：</w:t>
      </w:r>
    </w:p>
    <w:p w14:paraId="6665C1E5">
      <w:pPr>
        <w:pStyle w:val="6"/>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（1）饮用水水源一级保护区和二级保护区的陆域范围。</w:t>
      </w:r>
    </w:p>
    <w:p w14:paraId="0AED369F">
      <w:pPr>
        <w:pStyle w:val="6"/>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（2）县城、镇（街道）城镇建成区范围内。</w:t>
      </w:r>
    </w:p>
    <w:p w14:paraId="4D55CC35">
      <w:pPr>
        <w:pStyle w:val="6"/>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（3）省级以上风景名胜区。</w:t>
      </w:r>
    </w:p>
    <w:p w14:paraId="6CBE2386">
      <w:pPr>
        <w:pStyle w:val="6"/>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（4）青衣江岸线200米范围内。</w:t>
      </w:r>
    </w:p>
    <w:p w14:paraId="32D424BB">
      <w:pPr>
        <w:pStyle w:val="6"/>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（5）国家法律法规规定的其他地区。</w:t>
      </w:r>
    </w:p>
    <w:p w14:paraId="39DF5925">
      <w:pPr>
        <w:pStyle w:val="6"/>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2.限养区。限养区是指按照法律法规、行政规章等规定，在一定区域内限制畜禽养殖规模和数量的区域。主要包括：</w:t>
      </w:r>
    </w:p>
    <w:p w14:paraId="6C4A1689">
      <w:pPr>
        <w:pStyle w:val="6"/>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（1）县城、镇（街道）城镇规划区未纳入禁养区范围内的区域根据城镇发展需要适时划入禁养区范围。</w:t>
      </w:r>
    </w:p>
    <w:p w14:paraId="09C68EED">
      <w:pPr>
        <w:pStyle w:val="6"/>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（2）生态保护红线、国家A级以上旅游景区、文物历史遗迹保护区。</w:t>
      </w:r>
    </w:p>
    <w:p w14:paraId="1DFFB351">
      <w:pPr>
        <w:pStyle w:val="6"/>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（3）四川夹江经济开发区、夹江县高陶园区、夹江县核技术应用产业园区。</w:t>
      </w:r>
    </w:p>
    <w:p w14:paraId="748D8F01">
      <w:pPr>
        <w:pStyle w:val="6"/>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（4）永久基本农田保护区，以自然资源部门划定永久基本农田保护红线为准。</w:t>
      </w:r>
    </w:p>
    <w:p w14:paraId="32092055">
      <w:pPr>
        <w:pStyle w:val="6"/>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（5）县域内青衣江岸线200米范围外、500米范围内区域，河长制河流两岸纵深200米范围内区域。</w:t>
      </w:r>
    </w:p>
    <w:p w14:paraId="1C744726">
      <w:pPr>
        <w:pStyle w:val="6"/>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（6）成乐高速夹江段、乐夹快速通道、G245、S428、S215、S307线夹江段公路、成昆及复线铁路两侧纵深100米，县域内通乡公路干线两侧30米范围内区域。</w:t>
      </w:r>
    </w:p>
    <w:p w14:paraId="1B3C59F1">
      <w:pPr>
        <w:pStyle w:val="6"/>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（7）国家法律法规规定的其他限养区域。</w:t>
      </w:r>
    </w:p>
    <w:p w14:paraId="5AD664B1">
      <w:pPr>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3.养殖区。除上述规定的畜禽养殖禁养区、限养区以外区域，原则上作为适宜养殖畜禽区域，主要分布在丘区和山区。</w:t>
      </w:r>
    </w:p>
    <w:p w14:paraId="2E347A39">
      <w:pPr>
        <w:ind w:left="0" w:leftChars="0" w:firstLine="0" w:firstLineChars="0"/>
        <w:jc w:val="center"/>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sz w:val="32"/>
          <w:szCs w:val="32"/>
          <w:highlight w:val="none"/>
          <w:lang w:val="en-US" w:eastAsia="zh-CN"/>
        </w:rPr>
        <w:drawing>
          <wp:anchor distT="0" distB="0" distL="114300" distR="114300" simplePos="0" relativeHeight="251661312" behindDoc="0" locked="0" layoutInCell="1" allowOverlap="1">
            <wp:simplePos x="0" y="0"/>
            <wp:positionH relativeFrom="column">
              <wp:posOffset>26035</wp:posOffset>
            </wp:positionH>
            <wp:positionV relativeFrom="paragraph">
              <wp:posOffset>46990</wp:posOffset>
            </wp:positionV>
            <wp:extent cx="5274310" cy="3938905"/>
            <wp:effectExtent l="0" t="0" r="0" b="0"/>
            <wp:wrapTopAndBottom/>
            <wp:docPr id="6" name="图片 6" descr="G:/夹江/夹江县“十五五”畜牧业高质量发展规划（2025-2030年）评审稿822/夹江县畜禽养殖禁养区限养区布局图.jpg夹江县畜禽养殖禁养区限养区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夹江/夹江县“十五五”畜牧业高质量发展规划（2025-2030年）评审稿822/夹江县畜禽养殖禁养区限养区布局图.jpg夹江县畜禽养殖禁养区限养区布局图"/>
                    <pic:cNvPicPr>
                      <a:picLocks noChangeAspect="1"/>
                    </pic:cNvPicPr>
                  </pic:nvPicPr>
                  <pic:blipFill>
                    <a:blip r:embed="rId7"/>
                    <a:srcRect t="303" b="3196"/>
                    <a:stretch>
                      <a:fillRect/>
                    </a:stretch>
                  </pic:blipFill>
                  <pic:spPr>
                    <a:xfrm>
                      <a:off x="0" y="0"/>
                      <a:ext cx="5274310" cy="3938905"/>
                    </a:xfrm>
                    <a:prstGeom prst="rect">
                      <a:avLst/>
                    </a:prstGeom>
                  </pic:spPr>
                </pic:pic>
              </a:graphicData>
            </a:graphic>
          </wp:anchor>
        </w:drawing>
      </w:r>
      <w:r>
        <w:rPr>
          <w:rFonts w:hint="default" w:ascii="Times New Roman" w:hAnsi="Times New Roman" w:eastAsia="方正仿宋_GBK" w:cs="Times New Roman"/>
          <w:color w:val="auto"/>
          <w:sz w:val="32"/>
          <w:szCs w:val="32"/>
          <w:highlight w:val="none"/>
          <w:lang w:val="en-US" w:eastAsia="zh-CN"/>
        </w:rPr>
        <w:t>图1</w:t>
      </w:r>
      <w:r>
        <w:rPr>
          <w:rFonts w:hint="eastAsia"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lang w:val="en-US" w:eastAsia="zh-CN"/>
        </w:rPr>
        <w:t>夹江县畜禽养殖禁养区限养区布局图</w:t>
      </w:r>
    </w:p>
    <w:p w14:paraId="3ABC3F7C">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bookmarkStart w:id="40" w:name="_Toc16905"/>
      <w:r>
        <w:rPr>
          <w:rStyle w:val="19"/>
          <w:rFonts w:hint="default" w:ascii="Times New Roman" w:hAnsi="Times New Roman" w:eastAsia="仿宋" w:cs="Times New Roman"/>
          <w:bCs/>
          <w:strike w:val="0"/>
          <w:dstrike w:val="0"/>
          <w:color w:val="auto"/>
          <w:szCs w:val="32"/>
          <w:highlight w:val="none"/>
          <w:u w:val="none"/>
          <w:lang w:val="en-US" w:eastAsia="zh-CN"/>
        </w:rPr>
        <w:t>（二）优化布局策略</w:t>
      </w:r>
      <w:bookmarkEnd w:id="40"/>
    </w:p>
    <w:p w14:paraId="520251B7">
      <w:pPr>
        <w:pStyle w:val="6"/>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根据现有发展基础、城镇功能和禁限养区划定的空间范围，“十五五”时期全县畜禽产业总体空间布局坚持“整治及转移”优化策略，其中整治</w:t>
      </w:r>
      <w:r>
        <w:rPr>
          <w:rFonts w:hint="default" w:ascii="Times New Roman" w:hAnsi="Times New Roman" w:eastAsia="仿宋_GB2312" w:cs="Times New Roman"/>
          <w:color w:val="auto"/>
          <w:kern w:val="2"/>
          <w:sz w:val="32"/>
          <w:szCs w:val="32"/>
          <w:highlight w:val="none"/>
          <w:lang w:val="en-US" w:eastAsia="zh" w:bidi="ar-SA"/>
          <w:woUserID w:val="1"/>
        </w:rPr>
        <w:t>要求是首先</w:t>
      </w:r>
      <w:r>
        <w:rPr>
          <w:rFonts w:hint="default" w:ascii="Times New Roman" w:hAnsi="Times New Roman" w:eastAsia="仿宋_GB2312" w:cs="Times New Roman"/>
          <w:color w:val="auto"/>
          <w:kern w:val="2"/>
          <w:sz w:val="32"/>
          <w:szCs w:val="32"/>
          <w:highlight w:val="none"/>
          <w:lang w:val="en-US" w:eastAsia="zh-CN" w:bidi="ar-SA"/>
        </w:rPr>
        <w:t>要</w:t>
      </w:r>
      <w:r>
        <w:rPr>
          <w:rFonts w:hint="default" w:ascii="Times New Roman" w:hAnsi="Times New Roman" w:eastAsia="仿宋_GB2312" w:cs="Times New Roman"/>
          <w:color w:val="auto"/>
          <w:kern w:val="2"/>
          <w:sz w:val="32"/>
          <w:szCs w:val="32"/>
          <w:highlight w:val="none"/>
          <w:lang w:val="en-US" w:eastAsia="zh" w:bidi="ar-SA"/>
          <w:woUserID w:val="1"/>
        </w:rPr>
        <w:t>遵照</w:t>
      </w:r>
      <w:r>
        <w:rPr>
          <w:rFonts w:hint="default" w:ascii="Times New Roman" w:hAnsi="Times New Roman" w:eastAsia="仿宋_GB2312" w:cs="Times New Roman"/>
          <w:color w:val="auto"/>
          <w:kern w:val="2"/>
          <w:sz w:val="32"/>
          <w:szCs w:val="32"/>
          <w:highlight w:val="none"/>
          <w:lang w:val="en-US" w:eastAsia="zh-CN" w:bidi="ar-SA"/>
        </w:rPr>
        <w:t>禁限养区的划分分区</w:t>
      </w:r>
      <w:r>
        <w:rPr>
          <w:rFonts w:hint="default" w:ascii="Times New Roman" w:hAnsi="Times New Roman" w:eastAsia="仿宋_GB2312" w:cs="Times New Roman"/>
          <w:color w:val="auto"/>
          <w:kern w:val="2"/>
          <w:sz w:val="32"/>
          <w:szCs w:val="32"/>
          <w:highlight w:val="none"/>
          <w:lang w:val="en-US" w:eastAsia="zh" w:bidi="ar-SA"/>
          <w:woUserID w:val="1"/>
        </w:rPr>
        <w:t>来优化养殖布局和规模</w:t>
      </w:r>
      <w:r>
        <w:rPr>
          <w:rFonts w:hint="default"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 w:bidi="ar-SA"/>
          <w:woUserID w:val="1"/>
        </w:rPr>
        <w:t>其次在</w:t>
      </w:r>
      <w:r>
        <w:rPr>
          <w:rFonts w:hint="default" w:ascii="Times New Roman" w:hAnsi="Times New Roman" w:eastAsia="仿宋_GB2312" w:cs="Times New Roman"/>
          <w:color w:val="auto"/>
          <w:kern w:val="2"/>
          <w:sz w:val="32"/>
          <w:szCs w:val="32"/>
          <w:highlight w:val="none"/>
          <w:lang w:val="en-US" w:eastAsia="zh-CN" w:bidi="ar-SA"/>
        </w:rPr>
        <w:t>有超载风险的、超载的、严重超载的区域，要限制准入发展。具体如下：</w:t>
      </w:r>
    </w:p>
    <w:p w14:paraId="559C3065">
      <w:pPr>
        <w:pStyle w:val="6"/>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i w:val="0"/>
          <w:iCs w:val="0"/>
          <w:caps w:val="0"/>
          <w:color w:val="auto"/>
          <w:spacing w:val="0"/>
          <w:sz w:val="32"/>
          <w:szCs w:val="32"/>
          <w:highlight w:val="none"/>
          <w:shd w:val="clear" w:fill="FFFFFF"/>
          <w:lang w:val="en-US" w:eastAsia="zh-CN"/>
        </w:rPr>
      </w:pPr>
      <w:r>
        <w:rPr>
          <w:rFonts w:hint="default" w:ascii="Times New Roman" w:hAnsi="Times New Roman" w:eastAsia="仿宋_GB2312" w:cs="Times New Roman"/>
          <w:color w:val="auto"/>
          <w:kern w:val="2"/>
          <w:sz w:val="32"/>
          <w:szCs w:val="32"/>
          <w:highlight w:val="none"/>
          <w:lang w:val="en-US" w:eastAsia="zh-CN" w:bidi="ar-SA"/>
        </w:rPr>
        <w:t>一是以禁养区及</w:t>
      </w:r>
      <w:r>
        <w:rPr>
          <w:rFonts w:hint="default" w:ascii="Times New Roman" w:hAnsi="Times New Roman" w:eastAsia="仿宋_GB2312" w:cs="Times New Roman"/>
          <w:sz w:val="32"/>
          <w:szCs w:val="32"/>
          <w:highlight w:val="none"/>
          <w:lang w:val="en-US" w:eastAsia="zh-CN"/>
        </w:rPr>
        <w:t>严重超载的区域</w:t>
      </w:r>
      <w:r>
        <w:rPr>
          <w:rFonts w:hint="default" w:ascii="Times New Roman" w:hAnsi="Times New Roman" w:eastAsia="仿宋_GB2312" w:cs="Times New Roman"/>
          <w:color w:val="auto"/>
          <w:kern w:val="2"/>
          <w:sz w:val="32"/>
          <w:szCs w:val="32"/>
          <w:highlight w:val="none"/>
          <w:lang w:val="en-US" w:eastAsia="zh-CN" w:bidi="ar-SA"/>
        </w:rPr>
        <w:t>为重点整治区域，禁止建设畜禽养殖场（户）</w:t>
      </w:r>
      <w:r>
        <w:rPr>
          <w:rFonts w:hint="eastAsia" w:ascii="Times New Roman" w:hAnsi="Times New Roman"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其中严重超载区域涉及新场镇红旗社区、刘水碾村、欣凤村、团结村、东山村、营房村，甘江镇定惠村、青峰村，木城镇修文村、五显岗村、永兴村、友谊村、迎江村、石香村，吴场镇丰收村、新合村、百茶村、仁和村、三管村，黄土镇凤桥社区、蟠龙村，马村镇水库村，华头镇塘边村。以限养区及</w:t>
      </w:r>
      <w:r>
        <w:rPr>
          <w:rFonts w:hint="default" w:ascii="Times New Roman" w:hAnsi="Times New Roman" w:eastAsia="仿宋_GB2312" w:cs="Times New Roman"/>
          <w:sz w:val="32"/>
          <w:szCs w:val="32"/>
          <w:highlight w:val="none"/>
          <w:lang w:val="en-US" w:eastAsia="zh-CN"/>
        </w:rPr>
        <w:t>存在超载风险的区域</w:t>
      </w:r>
      <w:r>
        <w:rPr>
          <w:rFonts w:hint="eastAsia" w:ascii="Times New Roman" w:hAnsi="Times New Roman" w:cs="Times New Roman"/>
          <w:sz w:val="32"/>
          <w:szCs w:val="32"/>
          <w:highlight w:val="none"/>
          <w:lang w:val="en-US" w:eastAsia="zh-CN"/>
        </w:rPr>
        <w:t>作</w:t>
      </w:r>
      <w:r>
        <w:rPr>
          <w:rFonts w:hint="default" w:ascii="Times New Roman" w:hAnsi="Times New Roman" w:eastAsia="仿宋_GB2312" w:cs="Times New Roman"/>
          <w:color w:val="auto"/>
          <w:kern w:val="2"/>
          <w:sz w:val="32"/>
          <w:szCs w:val="32"/>
          <w:highlight w:val="none"/>
          <w:lang w:val="en-US" w:eastAsia="zh-CN" w:bidi="ar-SA"/>
        </w:rPr>
        <w:t>为限制养殖区域，推进畜禽养殖场（户）分类整治、引导减量，推进行业规范发展。对存在问题的养殖场（户），依法下达限期整改通知，明确整改标准和时限，确保整改到位。对拒不整改或整改不达标的养殖场（户），责令停止养殖行为。</w:t>
      </w:r>
    </w:p>
    <w:p w14:paraId="68EDEF7C">
      <w:pPr>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bidi="ar-SA"/>
        </w:rPr>
        <w:t>二是促进畜禽产业从沿村沿河向农业集中区转移。按照以种定养、生态循环原则，在不易产生水体污染的荒山荒坡、复垦耕地和粮食生产功能、现代农业园区等区域，配套建设一批技术领先、环保达标的规模养殖场和养殖小区。</w:t>
      </w:r>
      <w:r>
        <w:rPr>
          <w:rFonts w:hint="default" w:ascii="Times New Roman" w:hAnsi="Times New Roman" w:eastAsia="仿宋_GB2312" w:cs="Times New Roman"/>
          <w:sz w:val="32"/>
          <w:szCs w:val="32"/>
          <w:highlight w:val="none"/>
          <w:lang w:val="en-US" w:eastAsia="zh-CN"/>
        </w:rPr>
        <w:t>在现有产业布局基础上，合理规划，在适合养殖的区域，也要分重点，对养殖品种进行合理布局，做到相对集中。不要求大力发展，在禁限养区可发展第二产业，如精深加工行业，禁止新建养殖场。</w:t>
      </w:r>
    </w:p>
    <w:p w14:paraId="31AE21D6">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41" w:name="_Toc17330"/>
      <w:bookmarkStart w:id="42" w:name="_Toc6954"/>
      <w:r>
        <w:rPr>
          <w:rFonts w:hint="default" w:ascii="Times New Roman" w:hAnsi="Times New Roman" w:eastAsia="黑体" w:cs="Times New Roman"/>
          <w:b w:val="0"/>
          <w:bCs/>
          <w:strike w:val="0"/>
          <w:dstrike w:val="0"/>
          <w:color w:val="auto"/>
          <w:kern w:val="2"/>
          <w:sz w:val="32"/>
          <w:szCs w:val="32"/>
          <w:lang w:val="en-US" w:eastAsia="zh-CN" w:bidi="ar-SA"/>
        </w:rPr>
        <w:t>二、生产力布局</w:t>
      </w:r>
      <w:bookmarkEnd w:id="41"/>
      <w:bookmarkEnd w:id="42"/>
    </w:p>
    <w:p w14:paraId="3B686D63">
      <w:pPr>
        <w:pStyle w:val="6"/>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按照区域内环境承载能力和市场消费需求，以蛋鸡为主，科学谋划集标准养殖、屠宰、加工、交易物流、饲料生产等要素的畜禽产业生产力空间布局。</w:t>
      </w:r>
    </w:p>
    <w:p w14:paraId="0A48D232">
      <w:pPr>
        <w:keepNext w:val="0"/>
        <w:keepLines w:val="0"/>
        <w:pageBreakBefore w:val="0"/>
        <w:widowControl w:val="0"/>
        <w:suppressLineNumbers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sz w:val="32"/>
          <w:szCs w:val="32"/>
          <w:highlight w:val="none"/>
          <w:lang w:val="en-US" w:eastAsia="zh-CN"/>
        </w:rPr>
        <w:t>做强蛋鸡产业。</w:t>
      </w:r>
      <w:r>
        <w:rPr>
          <w:rFonts w:hint="default" w:ascii="Times New Roman" w:hAnsi="Times New Roman" w:eastAsia="仿宋_GB2312" w:cs="Times New Roman"/>
          <w:color w:val="auto"/>
          <w:sz w:val="32"/>
          <w:szCs w:val="32"/>
          <w:highlight w:val="none"/>
          <w:lang w:val="en-US" w:eastAsia="zh-CN"/>
        </w:rPr>
        <w:t>按照高质量发展和圈链发展思路，推进</w:t>
      </w:r>
      <w:r>
        <w:rPr>
          <w:rFonts w:hint="default" w:ascii="Times New Roman" w:hAnsi="Times New Roman" w:eastAsia="仿宋_GB2312" w:cs="Times New Roman"/>
          <w:color w:val="auto"/>
          <w:kern w:val="2"/>
          <w:sz w:val="32"/>
          <w:szCs w:val="32"/>
          <w:highlight w:val="none"/>
          <w:lang w:val="en-US" w:eastAsia="zh-CN" w:bidi="ar-SA"/>
        </w:rPr>
        <w:t>蛋种鸡育种、蛋鸡规模化标准化养殖，淘汰鸡宰杀、蛋鸡（老母鸡）精深加工、鸡蛋食品精深加工、禽蛋交易物流集散全链条布局。形成以木城镇群星村、迎江村、石香村、泉水村，吴场镇百茶村、新合村、建川村、仁和村、三洞桥社区，新场镇刘水碾村、团结村，马村镇带河村，甘江镇甘霖村为主的蛋鸡产业发展集聚区。</w:t>
      </w:r>
    </w:p>
    <w:p w14:paraId="637BE860">
      <w:pPr>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——做优生猪产业。</w:t>
      </w:r>
      <w:r>
        <w:rPr>
          <w:rFonts w:hint="default" w:ascii="Times New Roman" w:hAnsi="Times New Roman" w:eastAsia="仿宋_GB2312" w:cs="Times New Roman"/>
          <w:color w:val="auto"/>
          <w:kern w:val="2"/>
          <w:sz w:val="32"/>
          <w:szCs w:val="32"/>
          <w:highlight w:val="none"/>
          <w:lang w:val="en-US" w:eastAsia="zh-CN" w:bidi="ar-SA"/>
        </w:rPr>
        <w:t>围绕保供给、高品质、可持续的总体发展目标，以优化转型为重点，加快推进现有养殖场的现代化、标准化、生态化和技术装备改造，提升生猪保供能力。形成以甘江镇青峰村、顺河村、定惠村、新兴村，吴场镇丰收村、百茶村、三管村、新合村，新场镇团结村、万福村、东山村、红旗社区、刘水碾村、欣凤村、新新社区、营房村为主的生猪产业发展集聚区。</w:t>
      </w:r>
    </w:p>
    <w:p w14:paraId="034D4D37">
      <w:pPr>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——做精特色畜禽产业。</w:t>
      </w:r>
      <w:r>
        <w:rPr>
          <w:rFonts w:hint="default" w:ascii="Times New Roman" w:hAnsi="Times New Roman" w:eastAsia="仿宋_GB2312" w:cs="Times New Roman"/>
          <w:color w:val="auto"/>
          <w:sz w:val="32"/>
          <w:szCs w:val="32"/>
          <w:highlight w:val="none"/>
          <w:lang w:val="en-US" w:eastAsia="zh-CN"/>
        </w:rPr>
        <w:t>肉牛、肉鸭、兔等畜禽产业以提升标准化技术、推广自动化装备、生态绿色化养殖为重点，按照“品种优质化、养殖标准化、防疫规范化、粪污资源化”的要求，引导现有饲养场向规范化、标准化、绿色化养殖转变。</w:t>
      </w:r>
    </w:p>
    <w:p w14:paraId="063924C1">
      <w:pPr>
        <w:ind w:left="0" w:leftChars="0" w:firstLine="0" w:firstLineChars="0"/>
        <w:jc w:val="center"/>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drawing>
          <wp:anchor distT="0" distB="0" distL="114300" distR="114300" simplePos="0" relativeHeight="251660288" behindDoc="0" locked="0" layoutInCell="1" allowOverlap="1">
            <wp:simplePos x="0" y="0"/>
            <wp:positionH relativeFrom="column">
              <wp:posOffset>60960</wp:posOffset>
            </wp:positionH>
            <wp:positionV relativeFrom="paragraph">
              <wp:posOffset>193040</wp:posOffset>
            </wp:positionV>
            <wp:extent cx="5279390" cy="3825240"/>
            <wp:effectExtent l="0" t="0" r="16510" b="3810"/>
            <wp:wrapTopAndBottom/>
            <wp:docPr id="4" name="图片 4" descr="夹江县畜禽产业生产力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夹江县畜禽产业生产力布局图"/>
                    <pic:cNvPicPr>
                      <a:picLocks noChangeAspect="1"/>
                    </pic:cNvPicPr>
                  </pic:nvPicPr>
                  <pic:blipFill>
                    <a:blip r:embed="rId8"/>
                    <a:stretch>
                      <a:fillRect/>
                    </a:stretch>
                  </pic:blipFill>
                  <pic:spPr>
                    <a:xfrm>
                      <a:off x="0" y="0"/>
                      <a:ext cx="5279390" cy="3825240"/>
                    </a:xfrm>
                    <a:prstGeom prst="rect">
                      <a:avLst/>
                    </a:prstGeom>
                  </pic:spPr>
                </pic:pic>
              </a:graphicData>
            </a:graphic>
          </wp:anchor>
        </w:drawing>
      </w:r>
      <w:r>
        <w:rPr>
          <w:rFonts w:hint="default" w:ascii="Times New Roman" w:hAnsi="Times New Roman" w:eastAsia="方正仿宋_GBK" w:cs="Times New Roman"/>
          <w:color w:val="auto"/>
          <w:sz w:val="28"/>
          <w:szCs w:val="28"/>
          <w:highlight w:val="none"/>
          <w:lang w:val="en-US" w:eastAsia="zh-CN"/>
        </w:rPr>
        <w:t>图2夹江县畜禽产业生产力布局图</w:t>
      </w:r>
    </w:p>
    <w:p w14:paraId="081357CF">
      <w:pPr>
        <w:ind w:left="0" w:leftChars="0" w:firstLine="0" w:firstLineChars="0"/>
        <w:jc w:val="center"/>
        <w:rPr>
          <w:rFonts w:hint="default" w:ascii="Times New Roman" w:hAnsi="Times New Roman" w:eastAsia="方正仿宋_GBK" w:cs="Times New Roman"/>
          <w:color w:val="auto"/>
          <w:sz w:val="32"/>
          <w:szCs w:val="32"/>
          <w:highlight w:val="none"/>
          <w:lang w:val="en-US" w:eastAsia="zh-CN"/>
        </w:rPr>
      </w:pPr>
    </w:p>
    <w:p w14:paraId="04497E50">
      <w:pPr>
        <w:ind w:left="0" w:leftChars="0" w:firstLine="0" w:firstLineChars="0"/>
        <w:jc w:val="center"/>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drawing>
          <wp:anchor distT="0" distB="0" distL="114300" distR="114300" simplePos="0" relativeHeight="251662336" behindDoc="0" locked="0" layoutInCell="1" allowOverlap="1">
            <wp:simplePos x="0" y="0"/>
            <wp:positionH relativeFrom="column">
              <wp:posOffset>250190</wp:posOffset>
            </wp:positionH>
            <wp:positionV relativeFrom="paragraph">
              <wp:posOffset>133350</wp:posOffset>
            </wp:positionV>
            <wp:extent cx="5240655" cy="3796665"/>
            <wp:effectExtent l="0" t="0" r="17145" b="13335"/>
            <wp:wrapTopAndBottom/>
            <wp:docPr id="8" name="图片 8" descr="夹江县蛋鸡产业生产力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夹江县蛋鸡产业生产力布局图"/>
                    <pic:cNvPicPr>
                      <a:picLocks noChangeAspect="1"/>
                    </pic:cNvPicPr>
                  </pic:nvPicPr>
                  <pic:blipFill>
                    <a:blip r:embed="rId9"/>
                    <a:stretch>
                      <a:fillRect/>
                    </a:stretch>
                  </pic:blipFill>
                  <pic:spPr>
                    <a:xfrm>
                      <a:off x="0" y="0"/>
                      <a:ext cx="5240655" cy="3796665"/>
                    </a:xfrm>
                    <a:prstGeom prst="rect">
                      <a:avLst/>
                    </a:prstGeom>
                  </pic:spPr>
                </pic:pic>
              </a:graphicData>
            </a:graphic>
          </wp:anchor>
        </w:drawing>
      </w:r>
      <w:r>
        <w:rPr>
          <w:rFonts w:hint="default" w:ascii="Times New Roman" w:hAnsi="Times New Roman" w:eastAsia="方正仿宋_GBK" w:cs="Times New Roman"/>
          <w:color w:val="auto"/>
          <w:sz w:val="32"/>
          <w:szCs w:val="32"/>
          <w:highlight w:val="none"/>
          <w:lang w:val="en-US" w:eastAsia="zh-CN"/>
        </w:rPr>
        <w:t>图3夹江县畜禽产业生产力布局图</w:t>
      </w:r>
    </w:p>
    <w:p w14:paraId="7089848C">
      <w:pPr>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br w:type="page"/>
      </w:r>
    </w:p>
    <w:p w14:paraId="06F12AAE">
      <w:pPr>
        <w:pStyle w:val="2"/>
        <w:bidi w:val="0"/>
        <w:rPr>
          <w:rStyle w:val="19"/>
          <w:rFonts w:hint="default" w:ascii="Times New Roman" w:hAnsi="Times New Roman" w:eastAsia="方正小标宋简体" w:cs="Times New Roman"/>
          <w:b w:val="0"/>
          <w:bCs w:val="0"/>
          <w:color w:val="auto"/>
          <w:szCs w:val="44"/>
          <w:highlight w:val="none"/>
          <w:u w:val="none"/>
          <w:lang w:val="en-US" w:eastAsia="zh-CN"/>
        </w:rPr>
      </w:pPr>
      <w:bookmarkStart w:id="43" w:name="_Toc2784"/>
      <w:bookmarkStart w:id="44" w:name="_Toc8025"/>
      <w:r>
        <w:rPr>
          <w:rStyle w:val="19"/>
          <w:rFonts w:hint="default" w:ascii="Times New Roman" w:hAnsi="Times New Roman" w:eastAsia="方正小标宋简体" w:cs="Times New Roman"/>
          <w:b w:val="0"/>
          <w:bCs w:val="0"/>
          <w:color w:val="auto"/>
          <w:szCs w:val="44"/>
          <w:highlight w:val="none"/>
          <w:u w:val="none"/>
          <w:lang w:val="en-US" w:eastAsia="zh-CN"/>
        </w:rPr>
        <w:fldChar w:fldCharType="begin"/>
      </w:r>
      <w:r>
        <w:rPr>
          <w:rStyle w:val="19"/>
          <w:rFonts w:hint="default" w:ascii="Times New Roman" w:hAnsi="Times New Roman" w:eastAsia="方正小标宋简体" w:cs="Times New Roman"/>
          <w:b w:val="0"/>
          <w:bCs w:val="0"/>
          <w:color w:val="auto"/>
          <w:szCs w:val="44"/>
          <w:highlight w:val="none"/>
          <w:u w:val="none"/>
          <w:lang w:val="en-US" w:eastAsia="zh-CN"/>
        </w:rPr>
        <w:instrText xml:space="preserve"> HYPERLINK \l "_Toc184626585" </w:instrText>
      </w:r>
      <w:r>
        <w:rPr>
          <w:rStyle w:val="19"/>
          <w:rFonts w:hint="default" w:ascii="Times New Roman" w:hAnsi="Times New Roman" w:eastAsia="方正小标宋简体" w:cs="Times New Roman"/>
          <w:b w:val="0"/>
          <w:bCs w:val="0"/>
          <w:color w:val="auto"/>
          <w:szCs w:val="44"/>
          <w:highlight w:val="none"/>
          <w:u w:val="none"/>
          <w:lang w:val="en-US" w:eastAsia="zh-CN"/>
        </w:rPr>
        <w:fldChar w:fldCharType="separate"/>
      </w:r>
      <w:r>
        <w:rPr>
          <w:rStyle w:val="19"/>
          <w:rFonts w:hint="default" w:ascii="Times New Roman" w:hAnsi="Times New Roman" w:eastAsia="方正小标宋简体" w:cs="Times New Roman"/>
          <w:b w:val="0"/>
          <w:bCs w:val="0"/>
          <w:color w:val="auto"/>
          <w:szCs w:val="44"/>
          <w:highlight w:val="none"/>
          <w:u w:val="none"/>
          <w:lang w:val="en-US" w:eastAsia="zh-CN"/>
        </w:rPr>
        <w:t>第四章</w:t>
      </w:r>
      <w:r>
        <w:rPr>
          <w:rStyle w:val="19"/>
          <w:rFonts w:hint="eastAsia" w:ascii="Times New Roman" w:hAnsi="Times New Roman" w:cs="Times New Roman"/>
          <w:b w:val="0"/>
          <w:bCs w:val="0"/>
          <w:color w:val="auto"/>
          <w:szCs w:val="44"/>
          <w:highlight w:val="none"/>
          <w:u w:val="none"/>
          <w:lang w:val="en-US" w:eastAsia="zh-CN"/>
        </w:rPr>
        <w:t xml:space="preserve"> </w:t>
      </w:r>
      <w:r>
        <w:rPr>
          <w:rStyle w:val="19"/>
          <w:rFonts w:hint="default" w:ascii="Times New Roman" w:hAnsi="Times New Roman" w:eastAsia="方正小标宋简体" w:cs="Times New Roman"/>
          <w:b w:val="0"/>
          <w:bCs w:val="0"/>
          <w:color w:val="auto"/>
          <w:szCs w:val="44"/>
          <w:highlight w:val="none"/>
          <w:u w:val="none"/>
          <w:lang w:val="en-US" w:eastAsia="zh-CN"/>
        </w:rPr>
        <w:t>重点任务</w:t>
      </w:r>
      <w:r>
        <w:rPr>
          <w:rStyle w:val="19"/>
          <w:rFonts w:hint="default" w:ascii="Times New Roman" w:hAnsi="Times New Roman" w:eastAsia="方正小标宋简体" w:cs="Times New Roman"/>
          <w:b w:val="0"/>
          <w:bCs w:val="0"/>
          <w:color w:val="auto"/>
          <w:szCs w:val="44"/>
          <w:highlight w:val="none"/>
          <w:u w:val="none"/>
          <w:lang w:val="en-US" w:eastAsia="zh-CN"/>
        </w:rPr>
        <w:fldChar w:fldCharType="end"/>
      </w:r>
      <w:bookmarkEnd w:id="43"/>
      <w:bookmarkEnd w:id="44"/>
    </w:p>
    <w:p w14:paraId="582C02D4">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45" w:name="_Toc11536"/>
      <w:bookmarkStart w:id="46" w:name="_Toc30663"/>
      <w:r>
        <w:rPr>
          <w:rFonts w:hint="default" w:ascii="Times New Roman" w:hAnsi="Times New Roman" w:eastAsia="黑体" w:cs="Times New Roman"/>
          <w:b w:val="0"/>
          <w:bCs/>
          <w:strike w:val="0"/>
          <w:dstrike w:val="0"/>
          <w:color w:val="auto"/>
          <w:kern w:val="2"/>
          <w:sz w:val="32"/>
          <w:szCs w:val="32"/>
          <w:lang w:val="en-US" w:eastAsia="zh-CN" w:bidi="ar-SA"/>
        </w:rPr>
        <w:t>一、以有序养殖为引领，提升畜禽养殖集约化水平</w:t>
      </w:r>
      <w:bookmarkEnd w:id="45"/>
      <w:bookmarkEnd w:id="46"/>
    </w:p>
    <w:p w14:paraId="59293473">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以“畜禽良种化、养殖设施化、生产规范化、防疫制度化和粪污减量化排放、无害化处理、资源化利用、常态化监管”为主要内容，全面开展蛋鸡、生猪等畜禽标准化养殖场建设。</w:t>
      </w:r>
    </w:p>
    <w:p w14:paraId="14DB401E">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bookmarkStart w:id="47" w:name="_Toc17529"/>
      <w:r>
        <w:rPr>
          <w:rStyle w:val="19"/>
          <w:rFonts w:hint="default" w:ascii="Times New Roman" w:hAnsi="Times New Roman" w:eastAsia="仿宋" w:cs="Times New Roman"/>
          <w:bCs/>
          <w:strike w:val="0"/>
          <w:dstrike w:val="0"/>
          <w:color w:val="auto"/>
          <w:szCs w:val="32"/>
          <w:highlight w:val="none"/>
          <w:u w:val="none"/>
          <w:lang w:val="en-US" w:eastAsia="zh-CN"/>
        </w:rPr>
        <w:t>（一）推进标准化规模养殖</w:t>
      </w:r>
      <w:bookmarkEnd w:id="47"/>
    </w:p>
    <w:p w14:paraId="3C9306EB">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引导中小养殖场（户）调整分散养殖用地集中联建共建标准化规模养殖场。新建或改造一批畜禽专业化、标准化养殖场。新建蛋种鸡育种基地1个；新建100万只以上规模现代化蛋鸡场4个；新建26万只规模现代化蛋鸡场1个；扩建规模蛋鸡舍4个，新增设计存栏量141万只；新建1000万羽青年鸡养殖场1个。新建存栏8500头种猪场1个，新建年出栏5000头育肥场1个，提升改造生猪育肥场5个。到2030年，存栏量2.5万只蛋鸡规模养殖率达95%，生猪规模养殖比例大于68%。</w:t>
      </w:r>
    </w:p>
    <w:p w14:paraId="349ACEEE">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bookmarkStart w:id="48" w:name="_Toc3490"/>
      <w:r>
        <w:rPr>
          <w:rStyle w:val="19"/>
          <w:rFonts w:hint="default" w:ascii="Times New Roman" w:hAnsi="Times New Roman" w:eastAsia="仿宋" w:cs="Times New Roman"/>
          <w:bCs/>
          <w:strike w:val="0"/>
          <w:dstrike w:val="0"/>
          <w:color w:val="auto"/>
          <w:szCs w:val="32"/>
          <w:highlight w:val="none"/>
          <w:u w:val="none"/>
          <w:lang w:val="en-US" w:eastAsia="zh-CN"/>
        </w:rPr>
        <w:t>（二）创新联农带农模式</w:t>
      </w:r>
      <w:bookmarkEnd w:id="48"/>
    </w:p>
    <w:p w14:paraId="68BED88A">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围绕蛋鸡、生猪等畜禽产业全链条发展，构建多元化联农带农机制，确保农户能够深度参与产业发展，实现稳定增收。结合畜禽产业基础和企业资源优势，主要采用“公司+农户”“合作社+农户”“订单农业+就业拉动”“技术服务+产业带动”“村集体+入股分红”等联农带农模式，通过创新实践提升产业链协同效应。带动村集体经济、农民专业合作社和农户能力进一步提升。</w:t>
      </w:r>
    </w:p>
    <w:p w14:paraId="70CC8609">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一是“公司+农户”模式。通过龙头企业向农户提供鸡苗、饲料、技术支持和销售渠道，帮助农户降低市场风险并提高生产效率。企业与农户签订购销合同，确保养殖户的蛋品等畜禽产品能够稳定销售，实现养殖规模化、现代化。</w:t>
      </w:r>
    </w:p>
    <w:p w14:paraId="64EC9D64">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二是“合作社+农户”协同发展模式。合作社作为农业产业的重要组织形式，为中小养殖户提供了集约化经营的机会。合作社吸收农户入股，共同建设和经营畜禽养殖项目。在项目建设和运营过程中，雇佣当地劳动力，从事养殖设施建设、养殖管理等工作，支付劳务报酬。合作社统一采购饲料、销售畜禽产品，降低成本，提高收益，按股份向农户分红，实现合作社与农户的互利共赢，带动区域畜禽养殖产业发展。</w:t>
      </w:r>
    </w:p>
    <w:p w14:paraId="13170E94">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三是“订单农业+就业拉动”模式。订单农业模式通过企业与农户签订长期购销合同，保障农户产品销路，减少市场波动带来的影响。畜禽产业链涵盖养殖、饲料供应、加工、物流等多个环节，可创造大量就业机会，为当地居民提供长期稳定的收入来源。</w:t>
      </w:r>
    </w:p>
    <w:p w14:paraId="3BFFDC2C">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四是“技术服务+产业带动”模式。技术型科研单位利用自身科研、技术优势，为畜禽养殖企业、养殖户提供技术指导、培训，开展质量安全监测、科研创新等服务。通过技术输出，提升行业整体技术水平，保障产业健康发展，带动企业和养殖户增收。</w:t>
      </w:r>
    </w:p>
    <w:p w14:paraId="3301E5B2">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五是“村集体+入股分红”模式。鼓励中小养殖户、村集体以土地、资金作为股本，入股大型养殖企业共建联建，中小养殖户和村集体按照股份参与企业分红。养殖企业优先雇佣入股懂技术、善经营的农户在养殖场务工，提高农户资产性收入和资本性收入。</w:t>
      </w:r>
    </w:p>
    <w:p w14:paraId="3CEB5D6A">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bookmarkStart w:id="49" w:name="_Toc20696"/>
      <w:r>
        <w:rPr>
          <w:rStyle w:val="19"/>
          <w:rFonts w:hint="default" w:ascii="Times New Roman" w:hAnsi="Times New Roman" w:eastAsia="仿宋" w:cs="Times New Roman"/>
          <w:bCs/>
          <w:strike w:val="0"/>
          <w:dstrike w:val="0"/>
          <w:color w:val="auto"/>
          <w:szCs w:val="32"/>
          <w:highlight w:val="none"/>
          <w:u w:val="none"/>
          <w:lang w:val="en-US" w:eastAsia="zh-CN"/>
        </w:rPr>
        <w:t>（三）提升现代化设施装备水平</w:t>
      </w:r>
      <w:bookmarkEnd w:id="49"/>
    </w:p>
    <w:p w14:paraId="6DD13C21">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一是支持吴场镇、新场镇、甘江镇、黄土镇、马村镇的生猪和蛋鸡规模养殖场新建、改扩建高标准圈舍，配套环境控制、饲养管理、疫病防控、粪污处理利用、秸秆饲料化处理等相关设施，配置常用生产机具，全面提升畜禽生产机械化、信息化、精细化水平。支持厚全、巨星农牧等引领企业的规模养殖场配置巡检系统、精准饲喂系统、智能环控系统等智能装备，应用智慧化管理系统。支持甘江镇、吴场镇、新场镇、马村镇肉鸭规模养殖场实施节水、节粮等绿色低碳养殖新技术，提高生产效率。</w:t>
      </w:r>
    </w:p>
    <w:p w14:paraId="5327F73E">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二是落实农机购置补贴政策，将养殖场（户）购置自动饲喂、环境控制、疫病防控、废弃物处理等农机装备按规定纳入补贴范围，对暂未纳入补贴范围的有关涉牧机械、智能设备列入农机新产品购置补贴试点范围予以支持，对规模养殖设施设备应补尽补。加快畜禽养殖场装备提档升级，不断提高畜禽养殖场自动化、智能化和生物安全防控水平，稳步发展全程机械化养殖场和示范基地。</w:t>
      </w:r>
    </w:p>
    <w:p w14:paraId="6F1D9F2B">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50" w:name="_Toc18245"/>
      <w:bookmarkStart w:id="51" w:name="_Toc26072"/>
      <w:r>
        <w:rPr>
          <w:rFonts w:hint="default" w:ascii="Times New Roman" w:hAnsi="Times New Roman" w:eastAsia="黑体" w:cs="Times New Roman"/>
          <w:b w:val="0"/>
          <w:bCs/>
          <w:strike w:val="0"/>
          <w:dstrike w:val="0"/>
          <w:color w:val="auto"/>
          <w:kern w:val="2"/>
          <w:sz w:val="32"/>
          <w:szCs w:val="32"/>
          <w:lang w:val="en-US" w:eastAsia="zh-CN" w:bidi="ar-SA"/>
        </w:rPr>
        <w:t>二、以质量安全为引领，保障优质饲料稳定供应</w:t>
      </w:r>
      <w:bookmarkEnd w:id="50"/>
      <w:bookmarkEnd w:id="51"/>
    </w:p>
    <w:p w14:paraId="1EB21027">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以质量安全为核心，通过构建现代化饲料生产体系、完善监管机制、推动技术创新与资源循环利用，全面提升饲料供应保障能力。</w:t>
      </w:r>
    </w:p>
    <w:p w14:paraId="758F232C">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bookmarkStart w:id="52" w:name="_Toc6879"/>
      <w:r>
        <w:rPr>
          <w:rStyle w:val="19"/>
          <w:rFonts w:hint="default" w:ascii="Times New Roman" w:hAnsi="Times New Roman" w:eastAsia="仿宋" w:cs="Times New Roman"/>
          <w:bCs/>
          <w:strike w:val="0"/>
          <w:dstrike w:val="0"/>
          <w:color w:val="auto"/>
          <w:szCs w:val="32"/>
          <w:highlight w:val="none"/>
          <w:u w:val="none"/>
          <w:lang w:val="en-US" w:eastAsia="zh-CN"/>
        </w:rPr>
        <w:t>（一）构建现代化饲料生产体系</w:t>
      </w:r>
      <w:bookmarkEnd w:id="52"/>
    </w:p>
    <w:p w14:paraId="7A2BB012">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一是严格控制新增饲料加工产能，坚决避免盲目扩张，政策重心转向现有产能优化，引导现有饲料加工企业提高产能利用率。二是积极推进饲料产业优质化转型。鼓励鑫金兰、厚全、双胞胎等企业优先选用认证优质原料，推广应用低蛋白氨基酸平衡饲料技术，开发新型饲料产品，发展高档畜禽饲料和特色畜禽配合饲料及浓缩料，提高优质饲料供应能力。落实四川省饲用豆粕减量替代行动，力争饲料中豆粕用量占比每年下降0.5个百分点以上。三是优化饲料生产结构。针对夹江县生猪、蛋鸡、肉牛、兔、鸭等主要畜禽品种，推行精准营养配方，生猪饲料重点推广低蛋白日粮技术，蛋鸡饲料强化钙磷平衡与微量元素添加，反刍动物饲料增加优质饲草和秸秆资源化利用比例，兔鸭饲料注重纤维平衡与益生菌应用。</w:t>
      </w:r>
    </w:p>
    <w:p w14:paraId="61C85B64">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bookmarkStart w:id="53" w:name="_Toc12263"/>
      <w:r>
        <w:rPr>
          <w:rStyle w:val="19"/>
          <w:rFonts w:hint="default" w:ascii="Times New Roman" w:hAnsi="Times New Roman" w:eastAsia="仿宋" w:cs="Times New Roman"/>
          <w:bCs/>
          <w:strike w:val="0"/>
          <w:dstrike w:val="0"/>
          <w:color w:val="auto"/>
          <w:szCs w:val="32"/>
          <w:highlight w:val="none"/>
          <w:u w:val="none"/>
          <w:lang w:val="en-US" w:eastAsia="zh-CN"/>
        </w:rPr>
        <w:t>（二）实施饲料质量安全全链条监管</w:t>
      </w:r>
      <w:bookmarkEnd w:id="53"/>
    </w:p>
    <w:p w14:paraId="3AB43FC9">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一是建立健全饲料质量安全监管网络。严格落实全省饲料质量安全监督抽查计划，对饲料生产企业、经营者和使用自配料的养殖者实现监督检查全覆盖。重点加强对蛋鸡、生猪饲料等品种的专项监测，开展药物及非法添加物风险评估。建立县域饲料质量安全追溯平台，实现从原料采购、生产加工、产品销售到养殖使用的全程可追溯。推动饲料标签规范化管理，严厉打击产品标签标注预防、治疗动物疾病功能等误导消费者的行为。同时，强化跨部门协同监管，农业农村、市场监管、综合执法、公安等部门要建立饲料和饲料添加剂生产企业联合监管协作机制，组织开展联合执法检查、强化问题整改闭环管理、加强信息沟通交流。二是严格饲料行业准入制度。严格审批市场进入门槛，加强对饲料及饲料添加剂品种许可证的管理，实行“准入先行、许可先行、备案后补”的管理模式。明确饲料及饲料添加剂企业和产品的监管责任。强化饲料监管能力建设，健全完善饲料质量安全监测体系，加强安全风险预警检测能力建设。完善市场信用体系，建立行业信用档案，开展检打联动，切实加强饲料质量安全事前事中事后全程监管。</w:t>
      </w:r>
    </w:p>
    <w:p w14:paraId="68F8AD47">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bookmarkStart w:id="54" w:name="_Toc25574"/>
      <w:r>
        <w:rPr>
          <w:rStyle w:val="19"/>
          <w:rFonts w:hint="default" w:ascii="Times New Roman" w:hAnsi="Times New Roman" w:eastAsia="仿宋" w:cs="Times New Roman"/>
          <w:bCs/>
          <w:strike w:val="0"/>
          <w:dstrike w:val="0"/>
          <w:color w:val="auto"/>
          <w:szCs w:val="32"/>
          <w:highlight w:val="none"/>
          <w:u w:val="none"/>
          <w:lang w:val="en-US" w:eastAsia="zh-CN"/>
        </w:rPr>
        <w:t>（三）推动技术创新与资源循环利用</w:t>
      </w:r>
      <w:bookmarkEnd w:id="54"/>
    </w:p>
    <w:p w14:paraId="4AE1EC96">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一是加强饲料资源开发与高效利用。积极开展地源性特色蛋白饲料原料资源调查与营养基础数据整理工作，构建适合本地资源特点的多元化饲料配方结构。二是加大秸秆养畜力度，提高秸秆饲料利用率。积极推进秸秆饲料化利用技术集成示范推广工作，采取秸秆青贮、氨化、加工草粉等多种方式进行加工利用，积极推广各类秸秆青贮、半干青贮及“青贮增效剂”使用技术，提高农作物秸秆综合利用水平。三是深入推进种养结合与循环利用。以养分平衡为基础，科学规划畜禽产业布局，推进“饲草饲料</w:t>
      </w:r>
      <w:r>
        <w:rPr>
          <w:rFonts w:hint="eastAsia" w:ascii="Times New Roman" w:hAnsi="Times New Roman" w:cs="Times New Roman"/>
          <w:color w:val="auto"/>
          <w:highlight w:val="none"/>
          <w:lang w:val="en-US" w:eastAsia="zh-CN"/>
        </w:rPr>
        <w:t>－</w:t>
      </w:r>
      <w:r>
        <w:rPr>
          <w:rFonts w:hint="default" w:ascii="Times New Roman" w:hAnsi="Times New Roman" w:eastAsia="仿宋_GB2312" w:cs="Times New Roman"/>
          <w:color w:val="auto"/>
          <w:highlight w:val="none"/>
          <w:lang w:val="en-US" w:eastAsia="zh-CN"/>
        </w:rPr>
        <w:t>畜禽养殖</w:t>
      </w:r>
      <w:r>
        <w:rPr>
          <w:rFonts w:hint="eastAsia" w:ascii="Times New Roman" w:hAnsi="Times New Roman" w:cs="Times New Roman"/>
          <w:color w:val="auto"/>
          <w:highlight w:val="none"/>
          <w:lang w:val="en-US" w:eastAsia="zh-CN"/>
        </w:rPr>
        <w:t>－</w:t>
      </w:r>
      <w:r>
        <w:rPr>
          <w:rFonts w:hint="default" w:ascii="Times New Roman" w:hAnsi="Times New Roman" w:eastAsia="仿宋_GB2312" w:cs="Times New Roman"/>
          <w:color w:val="auto"/>
          <w:highlight w:val="none"/>
          <w:lang w:val="en-US" w:eastAsia="zh-CN"/>
        </w:rPr>
        <w:t>肥料还田”的生态循环模式，引导畜禽养殖与种植业生产紧密衔接。支持养殖场将富含纤维的饲草及农作物秸秆经过青贮、黄贮等饲料化加工后用于牛羊等草食家畜养殖。</w:t>
      </w:r>
    </w:p>
    <w:p w14:paraId="793FBD6A">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55" w:name="_Toc32394"/>
      <w:bookmarkStart w:id="56" w:name="_Toc80"/>
      <w:r>
        <w:rPr>
          <w:rFonts w:hint="default" w:ascii="Times New Roman" w:hAnsi="Times New Roman" w:eastAsia="黑体" w:cs="Times New Roman"/>
          <w:b w:val="0"/>
          <w:bCs/>
          <w:strike w:val="0"/>
          <w:dstrike w:val="0"/>
          <w:color w:val="auto"/>
          <w:kern w:val="2"/>
          <w:sz w:val="32"/>
          <w:szCs w:val="32"/>
          <w:lang w:val="en-US" w:eastAsia="zh-CN" w:bidi="ar-SA"/>
        </w:rPr>
        <w:t>三、以产业链建设为引领，保障畜禽生产供应畅通</w:t>
      </w:r>
      <w:bookmarkEnd w:id="55"/>
      <w:bookmarkEnd w:id="56"/>
    </w:p>
    <w:p w14:paraId="4F876E5F">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强化龙头引领作用，围绕蛋鸡和生猪等特色优势产业，通过育主体、建园区、搞加工、创品牌、促融合，推进产业规模化生产、市场化运营、品牌化发展，构建“1+N”百亿级农业产业链。</w:t>
      </w:r>
    </w:p>
    <w:p w14:paraId="274EDA43">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bookmarkStart w:id="57" w:name="_Toc28337"/>
      <w:bookmarkStart w:id="58" w:name="_Toc3279"/>
      <w:bookmarkStart w:id="59" w:name="_Toc14864"/>
      <w:r>
        <w:rPr>
          <w:rStyle w:val="19"/>
          <w:rFonts w:hint="default" w:ascii="Times New Roman" w:hAnsi="Times New Roman" w:eastAsia="仿宋" w:cs="Times New Roman"/>
          <w:bCs/>
          <w:strike w:val="0"/>
          <w:dstrike w:val="0"/>
          <w:color w:val="auto"/>
          <w:szCs w:val="32"/>
          <w:highlight w:val="none"/>
          <w:u w:val="none"/>
          <w:lang w:val="en-US" w:eastAsia="zh-CN"/>
        </w:rPr>
        <w:t>（一）推进领航企业引育计划</w:t>
      </w:r>
      <w:bookmarkEnd w:id="57"/>
      <w:bookmarkEnd w:id="58"/>
      <w:bookmarkEnd w:id="59"/>
    </w:p>
    <w:p w14:paraId="2931FB59">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引育结合，扶优培强农业产业化龙头企业，做大引领行业发展的产业链“链主”企业和“链属”企业，做优中小企业，形成生产协同、技术互补、要素共享的企业发展阵型。围绕蛋鸡、生猪等特色优势产业，按照企业规模居前、产业链影响力强、带动作用大、根植性强等综合标准，选择链主企业。选择现有经济规模、科技含量和社会影响力方面具有引领优势，对整个产业链起支撑作用的区域引领性的中小企业作为链属企业。在产业发展过程中充分利用外部资源、发挥自身比较优势，发挥产业链上中下游核心凝聚力，带动全产业链发展。</w:t>
      </w:r>
    </w:p>
    <w:p w14:paraId="31BB8BDC">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一是大力培育厚全蛋鸡产业链主企业依托集饲料加工、蛋鸡养殖、蛋制品生产、有机肥研发等全产业链运营优势，推动蛋鸡养殖区域化布局，吸引上下游企业集聚，形成产业集群效应。</w:t>
      </w:r>
    </w:p>
    <w:p w14:paraId="6DA97C8C">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二是依托巨星农牧、天农等生猪行业领军企业，不断提高现代化养殖水平，延伸产业链，力争构建集现代化养殖、良种繁育、精深加工、优势品牌培育、市场拓展全产业链，实现产供销一体化发展。通过链主企业资金、渠道和资源优势，推动产业链延伸、价值链提升、供应链融通，支撑产业生态系统有机运行。鼓励附属企业和专业合作社等底部支撑链属企业，发挥稳产保供底部支撑和助农增收支柱作用。</w:t>
      </w:r>
    </w:p>
    <w:p w14:paraId="1F8A2176">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三是强化农业产业链协同发展效能，充分发挥链主企业的“头雁领航”作用。创新构建订单化供应链利益共享机制，以契约合同为纽带，将链主企业与链属企业深度绑定，形成风险共担、利益共享的产业共同体。依托龙头企业雄厚的资金实力、广阔的市场资源和完善的销售渠道，</w:t>
      </w:r>
      <w:r>
        <w:rPr>
          <w:rFonts w:hint="default" w:ascii="Times New Roman" w:hAnsi="Times New Roman" w:eastAsia="仿宋_GB2312" w:cs="Times New Roman"/>
          <w:color w:val="auto"/>
          <w:highlight w:val="none"/>
          <w:lang w:val="zh-CN" w:eastAsia="zh-CN"/>
        </w:rPr>
        <w:t>带动链属企业产品销售、扩大产能，</w:t>
      </w:r>
      <w:r>
        <w:rPr>
          <w:rFonts w:hint="default" w:ascii="Times New Roman" w:hAnsi="Times New Roman" w:eastAsia="仿宋_GB2312" w:cs="Times New Roman"/>
          <w:color w:val="auto"/>
          <w:highlight w:val="none"/>
          <w:lang w:val="en-US" w:eastAsia="zh-CN"/>
        </w:rPr>
        <w:t>推动规模化采购工作，搭建覆盖生产、加工、销售全环节的产业联合体平台，提升企业引领行业发展能力。力争到2030年，培育1个市值突破10亿元的链主企业，农业产业化联合体2个。</w:t>
      </w:r>
    </w:p>
    <w:p w14:paraId="11327453">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bookmarkStart w:id="60" w:name="_Toc24904"/>
      <w:r>
        <w:rPr>
          <w:rStyle w:val="19"/>
          <w:rFonts w:hint="default" w:ascii="Times New Roman" w:hAnsi="Times New Roman" w:eastAsia="仿宋" w:cs="Times New Roman"/>
          <w:bCs/>
          <w:strike w:val="0"/>
          <w:dstrike w:val="0"/>
          <w:color w:val="auto"/>
          <w:szCs w:val="32"/>
          <w:highlight w:val="none"/>
          <w:u w:val="none"/>
          <w:lang w:val="en-US" w:eastAsia="zh-CN"/>
        </w:rPr>
        <w:t>（二）积极拓展和延伸产业链</w:t>
      </w:r>
      <w:bookmarkEnd w:id="60"/>
    </w:p>
    <w:p w14:paraId="60473245">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一是落实“天府粮仓·千园建设”行动、特色产业集群强镇培育行动，新建蛋鸡省级现代农业园区1个、晋升省五星级茶叶生猪种养循环现代农业园区1个、推进建设1个国家级农业产业强镇（蛋鸡）。</w:t>
      </w:r>
    </w:p>
    <w:p w14:paraId="1A1B12D4">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二是做强畜禽产品加工流通。聚焦蛋鸡、生猪等优势产业，统筹布局屠宰、分割、加工、包装、冷链、物流、交易等项目，突出关键技术、关键工艺、关键设备，谋划示范性、引领性的重大项目。优化屠宰产能布局，推动屠宰场标准化、集约化建设，在甘江镇、吴场镇、新场镇等养殖集中区域，新建或改造提升现代化屠宰场，推动生猪屠宰能力提升至年屠宰10万头以上，禽类屠宰能力提升至年屠宰4000万只以上，全面提升屠宰加工工艺水平和卫生标准，推动屠宰环节向精细化、洁净化、冷链化发展。大力发展畜禽产品精深加工，依托建瓴食品、飞越食品等企业，推动蛋鸡（老母鸡）精深加工项目建设，发展冰鲜净膛老母鸡、药膳鸡汤包、禽肉休闲食品等系列产品；推动鸡蛋食品精深加工，发展蛋液、蛋粉、蛋黄酱、功能性蛋制品等高附加值产品，提升产品附加值和市场竞争力。完善冷链物流体系，建设覆盖产地到消费终端的冷链设施，提升肉类、蛋品冷链流通率至50%以上，推动形成“养殖—屠宰—加工—冷链—销售”一体化供应链。到2030年，实现规上农产品加工企业营业收入增速2%以上，肉类冷链流通率大于50%，生猪等年屠宰能力10万头以上、禽类屠宰能力4000万只以上，蛋鸡产品精深加工率57%以上。建成国家禽蛋交易中心1个。打造全国禽蛋产销对接、品牌培育两大平台，搭建仓配体系，推动禽蛋产业一体化发展，形成全国禽蛋仓储流通核心枢纽。</w:t>
      </w:r>
    </w:p>
    <w:p w14:paraId="77D3A82F">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三是依托蛋鸡龙头企业产业基地，融入研学旅游要素，在新合园区，建设蛋鸡博物馆，通过沉浸式体验与科普教育，展现“一枚生态好蛋的前世今生”，打造具有产业特色、地域特点的特色农业文创产品和乡村消费场景，助推全县全域研学旅游产业发展。</w:t>
      </w:r>
    </w:p>
    <w:p w14:paraId="57A5606E">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四是加大畜禽名优品牌培育，积极创建（蛋鸡）区域公共品牌1个、企业创建产品品牌，积极开展“三品一标”认定、争创著名商标，打造“川字号”特色畜禽品牌。利用展会、平面媒体、新媒体、网络等多种形式，广泛宣传特色畜禽产品。力争到2030年，蛋鸡产业品牌价值显著提升，</w:t>
      </w:r>
      <w:r>
        <w:rPr>
          <w:rFonts w:hint="eastAsia" w:ascii="Times New Roman" w:hAnsi="Times New Roman" w:cs="Times New Roman"/>
          <w:color w:val="auto"/>
          <w:highlight w:val="none"/>
          <w:lang w:val="en-US" w:eastAsia="zh-CN"/>
        </w:rPr>
        <w:t>综合产值</w:t>
      </w:r>
      <w:r>
        <w:rPr>
          <w:rFonts w:hint="default" w:ascii="Times New Roman" w:hAnsi="Times New Roman" w:eastAsia="仿宋_GB2312" w:cs="Times New Roman"/>
          <w:color w:val="auto"/>
          <w:highlight w:val="none"/>
          <w:lang w:val="en-US" w:eastAsia="zh-CN"/>
        </w:rPr>
        <w:t>达到100亿元以上。</w:t>
      </w:r>
    </w:p>
    <w:p w14:paraId="2A87BA88">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61" w:name="_Toc22636"/>
      <w:bookmarkStart w:id="62" w:name="_Toc28288"/>
      <w:r>
        <w:rPr>
          <w:rFonts w:hint="default" w:ascii="Times New Roman" w:hAnsi="Times New Roman" w:eastAsia="黑体" w:cs="Times New Roman"/>
          <w:b w:val="0"/>
          <w:bCs/>
          <w:strike w:val="0"/>
          <w:dstrike w:val="0"/>
          <w:color w:val="auto"/>
          <w:kern w:val="2"/>
          <w:sz w:val="32"/>
          <w:szCs w:val="32"/>
          <w:lang w:val="en-US" w:eastAsia="zh-CN" w:bidi="ar-SA"/>
        </w:rPr>
        <w:t>四、以生态循环为引领，推进畜牧产业生态可持续</w:t>
      </w:r>
      <w:bookmarkEnd w:id="61"/>
      <w:bookmarkEnd w:id="62"/>
    </w:p>
    <w:p w14:paraId="64A52BF0">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加快畜禽养殖业绿色转型发展。按照“以地定猪”的刚性要求，配套“现代化、全封闭、可循环”的规模养殖，年设计出栏规模须与种养循环土地规模相匹配，实现农牧结合、种养循环。</w:t>
      </w:r>
    </w:p>
    <w:p w14:paraId="7BE82DD3">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bookmarkStart w:id="63" w:name="_Toc11783"/>
      <w:r>
        <w:rPr>
          <w:rStyle w:val="19"/>
          <w:rFonts w:hint="eastAsia" w:ascii="Times New Roman" w:hAnsi="Times New Roman" w:eastAsia="仿宋" w:cs="Times New Roman"/>
          <w:bCs/>
          <w:strike w:val="0"/>
          <w:dstrike w:val="0"/>
          <w:color w:val="auto"/>
          <w:szCs w:val="32"/>
          <w:highlight w:val="none"/>
          <w:u w:val="none"/>
          <w:lang w:val="en-US" w:eastAsia="zh-CN"/>
        </w:rPr>
        <w:t>（一）</w:t>
      </w:r>
      <w:r>
        <w:rPr>
          <w:rStyle w:val="19"/>
          <w:rFonts w:hint="default" w:ascii="Times New Roman" w:hAnsi="Times New Roman" w:eastAsia="仿宋" w:cs="Times New Roman"/>
          <w:bCs/>
          <w:strike w:val="0"/>
          <w:dstrike w:val="0"/>
          <w:color w:val="auto"/>
          <w:szCs w:val="32"/>
          <w:highlight w:val="none"/>
          <w:u w:val="none"/>
          <w:lang w:val="en-US" w:eastAsia="zh-CN"/>
        </w:rPr>
        <w:t>推进畜禽养殖废弃物资源化利用</w:t>
      </w:r>
      <w:bookmarkEnd w:id="63"/>
    </w:p>
    <w:p w14:paraId="4EDF4AA5">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各镇（街）基于畜禽粪污土地承载力，推行以地定畜、种养结合，促进畜禽粪肥就近就地还田利用。推广节水、节料等清洁养殖工艺，合理选择干清粪、水泡粪、微生物发酵、臭气收集与处理等实用技术，实现源头控制；完善畜禽粪污资源化利用设施设备，因地制宜建设经济高效堆沤肥、贮存发酵、沼气发酵等处理设施，加强收储运设施设备建设，鼓励采取粪肥还田、制取沼气、生产有机肥等方式进行资源化利用。到2030年，在吴场镇、新场镇、甘江镇、黄土镇、马村镇建成种养循环示范基地10个，全县畜禽粪污综合利用率92%以上，规模养殖场粪污处理设施装备配套率达到100%。</w:t>
      </w:r>
    </w:p>
    <w:p w14:paraId="7AF1E82F">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bookmarkStart w:id="64" w:name="_Toc29207"/>
      <w:r>
        <w:rPr>
          <w:rStyle w:val="19"/>
          <w:rFonts w:hint="eastAsia" w:ascii="Times New Roman" w:hAnsi="Times New Roman" w:eastAsia="仿宋" w:cs="Times New Roman"/>
          <w:bCs/>
          <w:strike w:val="0"/>
          <w:dstrike w:val="0"/>
          <w:color w:val="auto"/>
          <w:szCs w:val="32"/>
          <w:highlight w:val="none"/>
          <w:u w:val="none"/>
          <w:lang w:val="en-US" w:eastAsia="zh-CN"/>
        </w:rPr>
        <w:t>（二）</w:t>
      </w:r>
      <w:r>
        <w:rPr>
          <w:rStyle w:val="19"/>
          <w:rFonts w:hint="default" w:ascii="Times New Roman" w:hAnsi="Times New Roman" w:eastAsia="仿宋" w:cs="Times New Roman"/>
          <w:bCs/>
          <w:strike w:val="0"/>
          <w:dstrike w:val="0"/>
          <w:color w:val="auto"/>
          <w:szCs w:val="32"/>
          <w:highlight w:val="none"/>
          <w:u w:val="none"/>
          <w:lang w:val="en-US" w:eastAsia="zh-CN"/>
        </w:rPr>
        <w:t>大力推广生态循环养殖模式</w:t>
      </w:r>
      <w:bookmarkEnd w:id="64"/>
    </w:p>
    <w:p w14:paraId="5ADC8C03">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通过政府引导，企业实施的模式，发展循环式养殖，实现物质和能量的多级利用和循环利用，提高资源的利用率，降低生产成本。鼓励生态循环农业示范基地建设，大力推广“猪（禽、牛）-沼-粮（菜、果、茶）”种养循环模式，将种植业与养殖业有机结合起来，实现种养结合立体开发，资源的生态循环利用，提高畜禽粪便综合利用率。鼓励有条件的地区推动能源化利用，运用生物工程技术对畜禽排泄物进行厌氧发酵，将沼液、沼渣、沼气综合应用于农业种植和居民生活中，促进生态养殖业、生态种植业等产业同时发展。</w:t>
      </w:r>
    </w:p>
    <w:p w14:paraId="14F7414F">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bookmarkStart w:id="65" w:name="_Toc13682"/>
      <w:r>
        <w:rPr>
          <w:rStyle w:val="19"/>
          <w:rFonts w:hint="eastAsia" w:ascii="Times New Roman" w:hAnsi="Times New Roman" w:eastAsia="仿宋" w:cs="Times New Roman"/>
          <w:bCs/>
          <w:strike w:val="0"/>
          <w:dstrike w:val="0"/>
          <w:color w:val="auto"/>
          <w:szCs w:val="32"/>
          <w:highlight w:val="none"/>
          <w:u w:val="none"/>
          <w:lang w:val="en-US" w:eastAsia="zh-CN"/>
        </w:rPr>
        <w:t>（三）</w:t>
      </w:r>
      <w:r>
        <w:rPr>
          <w:rStyle w:val="19"/>
          <w:rFonts w:hint="default" w:ascii="Times New Roman" w:hAnsi="Times New Roman" w:eastAsia="仿宋" w:cs="Times New Roman"/>
          <w:bCs/>
          <w:strike w:val="0"/>
          <w:dstrike w:val="0"/>
          <w:color w:val="auto"/>
          <w:szCs w:val="32"/>
          <w:highlight w:val="none"/>
          <w:u w:val="none"/>
          <w:lang w:val="en-US" w:eastAsia="zh-CN"/>
        </w:rPr>
        <w:t>加强畜禽养殖废弃物监管</w:t>
      </w:r>
      <w:bookmarkEnd w:id="65"/>
    </w:p>
    <w:p w14:paraId="6C00C5CF">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全县打造“智能化+数字化”畜禽污染监测控制体系。完善畜禽养殖废弃物监管平台建设，引导厚全、天农等公司的畜禽大型规模养殖场进行智慧化改造和提档升级，实施育种、育肥全流程环境检测追溯，推进养殖工艺与污染检测设施装备的集成配套，提升污染检测防治智能化水平。职能部门按照“谁产生、谁负责”的原则，严格落实养殖场（户）主体责任。加大巡查力度，确保养殖场（户）按照“一控两分三防两配套”规范要求实施。严格落实畜禽养殖联合审批、污染防治网格化管理等制度，加强畜禽养殖废弃物监管。</w:t>
      </w:r>
    </w:p>
    <w:p w14:paraId="491448E3">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66" w:name="_Toc25136"/>
      <w:bookmarkStart w:id="67" w:name="_Toc9978"/>
      <w:r>
        <w:rPr>
          <w:rFonts w:hint="default" w:ascii="Times New Roman" w:hAnsi="Times New Roman" w:eastAsia="黑体" w:cs="Times New Roman"/>
          <w:b w:val="0"/>
          <w:bCs/>
          <w:strike w:val="0"/>
          <w:dstrike w:val="0"/>
          <w:color w:val="auto"/>
          <w:kern w:val="2"/>
          <w:sz w:val="32"/>
          <w:szCs w:val="32"/>
          <w:lang w:val="en-US" w:eastAsia="zh-CN" w:bidi="ar-SA"/>
        </w:rPr>
        <w:t>五、以理念革新为引领，保障畜牧产业服务高效</w:t>
      </w:r>
      <w:bookmarkEnd w:id="66"/>
      <w:bookmarkEnd w:id="67"/>
    </w:p>
    <w:p w14:paraId="17F577FA">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加强社会化服务体系建设，全面提升人工授精服务能力、提高病死畜禽无害化处理率、提升动物疫病防控能力、提升金融保险服务保障水平、提升重大动物疫病防控能力、提升粪污处理利用专业化水平、提高产业信息化管理水平、保障畜禽产品质量安全，推动全县畜牧业高质量发展。</w:t>
      </w:r>
    </w:p>
    <w:p w14:paraId="535E946D">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bookmarkStart w:id="68" w:name="_Toc18228"/>
      <w:r>
        <w:rPr>
          <w:rStyle w:val="19"/>
          <w:rFonts w:hint="eastAsia" w:ascii="Times New Roman" w:hAnsi="Times New Roman" w:eastAsia="仿宋" w:cs="Times New Roman"/>
          <w:bCs/>
          <w:strike w:val="0"/>
          <w:dstrike w:val="0"/>
          <w:color w:val="auto"/>
          <w:szCs w:val="32"/>
          <w:highlight w:val="none"/>
          <w:u w:val="none"/>
          <w:lang w:val="en-US" w:eastAsia="zh-CN"/>
        </w:rPr>
        <w:t>（一）</w:t>
      </w:r>
      <w:r>
        <w:rPr>
          <w:rStyle w:val="19"/>
          <w:rFonts w:hint="default" w:ascii="Times New Roman" w:hAnsi="Times New Roman" w:eastAsia="仿宋" w:cs="Times New Roman"/>
          <w:bCs/>
          <w:strike w:val="0"/>
          <w:dstrike w:val="0"/>
          <w:color w:val="auto"/>
          <w:szCs w:val="32"/>
          <w:highlight w:val="none"/>
          <w:u w:val="none"/>
          <w:lang w:val="en-US" w:eastAsia="zh-CN"/>
        </w:rPr>
        <w:t>提升畜禽社会化服务能力</w:t>
      </w:r>
      <w:bookmarkEnd w:id="68"/>
    </w:p>
    <w:p w14:paraId="30381826">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一是提升人工授精服务能力。大力支持巨星农牧、正大、天农等公司，作为第三方服务队伍发展畜禽品种改良，辐射全县，提升生猪、肉牛等人工授精服务能力。二是稳步提高集中无害化处理覆盖率。结合畜禽养殖、发病死亡等实际情况，按照“集中处理为主，自行处理为补充”的要求，完善优化集中无害化处理场所建设，指导畜禽养殖场（户）、屠宰厂（场）、无害化处理场等生产经营主体，规范处置病死畜禽和病害畜禽产品，建立工作台账，详细记录处置的种类、数量和去向等情况，确保病死畜禽无害化处理率达100%。三是发展镇（街）基层兽医服务队伍，配备村级动物防疫员，提升动物疫病防控能力。四是鼓励金融、保险机构开发适宜夹江畜禽全产业链发展的金融产品、保险产品，提升服务保障水平。五是大力支持有机肥加工厂、粪肥还田服务队、沼气池化粪池清掏队等第三方机构发展，提升设施装备水平，给予适当的运行补助，提升粪污处理利用专业化水平。</w:t>
      </w:r>
    </w:p>
    <w:p w14:paraId="3DD6233D">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bookmarkStart w:id="69" w:name="_Toc10074"/>
      <w:r>
        <w:rPr>
          <w:rStyle w:val="19"/>
          <w:rFonts w:hint="eastAsia" w:ascii="Times New Roman" w:hAnsi="Times New Roman" w:eastAsia="仿宋" w:cs="Times New Roman"/>
          <w:bCs/>
          <w:strike w:val="0"/>
          <w:dstrike w:val="0"/>
          <w:color w:val="auto"/>
          <w:szCs w:val="32"/>
          <w:highlight w:val="none"/>
          <w:u w:val="none"/>
          <w:lang w:val="en-US" w:eastAsia="zh-CN"/>
        </w:rPr>
        <w:t>（二）</w:t>
      </w:r>
      <w:r>
        <w:rPr>
          <w:rStyle w:val="19"/>
          <w:rFonts w:hint="default" w:ascii="Times New Roman" w:hAnsi="Times New Roman" w:eastAsia="仿宋" w:cs="Times New Roman"/>
          <w:bCs/>
          <w:strike w:val="0"/>
          <w:dstrike w:val="0"/>
          <w:color w:val="auto"/>
          <w:szCs w:val="32"/>
          <w:highlight w:val="none"/>
          <w:u w:val="none"/>
          <w:lang w:val="en-US" w:eastAsia="zh-CN"/>
        </w:rPr>
        <w:t>提高产业信息化管理水平</w:t>
      </w:r>
      <w:bookmarkEnd w:id="69"/>
    </w:p>
    <w:p w14:paraId="005D5BCA">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构建蛋鸡、生猪等主要畜禽产业全产业链智慧养殖信息化管服体系，快速推动畜禽养殖由传统粗放式向知识型、技术型、智慧型转变。通过搭建一个平台多个智慧应用场景的方式，实现畜禽产业全链条的智慧管理。</w:t>
      </w:r>
    </w:p>
    <w:p w14:paraId="7BC6CB06">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一是支持蛋鸡、生猪的链主、链属企业加快建立集养殖、防疫、饲料、畜禽粪污资源化利用、病死动物无害化处理、屠宰、精深加工、冷链物流、市场销售于一体的畜禽产业智慧监管平台。依托农业面源污染数字化平台建设，整合农业农村部养殖场直联直报、动物检疫信息、动物防疫信息、无害化处理等系统功能，搭建起全县畜禽信息化服务平台，覆盖全县所有的畜禽养殖专业户和规模养殖场。</w:t>
      </w:r>
    </w:p>
    <w:p w14:paraId="6CEF1F87">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二是大力支持养殖场配置巡检系统、精准饲喂系统、智能环控系统等智能装备，应用智慧化管理系统，提高生产效率。组织引导新建养殖企业采用智能化养殖设备，对已建成养殖企业进行智能化升级改造，通过搭建生产信息管理系统，连贯饲养管理、畜禽防疫、病死畜禽无害化处理等各个环节，实现全过程智能化管理。支持大型畜禽企业利用智慧养殖云平台实现精细化智慧管理，建立一批“数字养殖场”标杆企业。</w:t>
      </w:r>
    </w:p>
    <w:p w14:paraId="07D2688C">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bookmarkStart w:id="70" w:name="_Toc9862"/>
      <w:r>
        <w:rPr>
          <w:rStyle w:val="19"/>
          <w:rFonts w:hint="eastAsia" w:ascii="Times New Roman" w:hAnsi="Times New Roman" w:eastAsia="仿宋" w:cs="Times New Roman"/>
          <w:bCs/>
          <w:strike w:val="0"/>
          <w:dstrike w:val="0"/>
          <w:color w:val="auto"/>
          <w:szCs w:val="32"/>
          <w:highlight w:val="none"/>
          <w:u w:val="none"/>
          <w:lang w:val="en-US" w:eastAsia="zh-CN"/>
        </w:rPr>
        <w:t>（三）</w:t>
      </w:r>
      <w:r>
        <w:rPr>
          <w:rStyle w:val="19"/>
          <w:rFonts w:hint="default" w:ascii="Times New Roman" w:hAnsi="Times New Roman" w:eastAsia="仿宋" w:cs="Times New Roman"/>
          <w:bCs/>
          <w:strike w:val="0"/>
          <w:dstrike w:val="0"/>
          <w:color w:val="auto"/>
          <w:szCs w:val="32"/>
          <w:highlight w:val="none"/>
          <w:u w:val="none"/>
          <w:lang w:val="en-US" w:eastAsia="zh-CN"/>
        </w:rPr>
        <w:t>狠抓畜禽养殖安全</w:t>
      </w:r>
      <w:bookmarkEnd w:id="70"/>
    </w:p>
    <w:p w14:paraId="7A9DEC1E">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一是提升动物疫病防控能力。加强动物疫病监测预警、动物防疫技术支撑、动物卫生监督执法、动物疫病预防控制等体系建设。建立形成高效运转、保障有力的动物防疫体系，保障养殖业健康发展和公共卫生安全。改进规模养殖场（户）动物防疫条件，提高生物安全防护水平。力争全县重大动物强制免疫疫病、群体免疫密度达到95%以上，其中应免畜禽强制免疫密度达到100%。</w:t>
      </w:r>
    </w:p>
    <w:p w14:paraId="04FB69AC">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二是加强兽药、抗菌药安全使用。职能监管部门和相关镇（街）强化兽药安全使用监管，严格按照兽药GMP、GSP检查程序及纪律要求开展现场检查，落实兽药产品批准文号现场核查和抽样制度。逐步提高养殖场（户）规范使用兽药水平，加强养殖场（户）兽药使用指导与培训，引导养殖场（户）科学使用兽药，提高饲养管理水平，保障畜禽产品质量安全。推进抗菌药减量使用。依法依规合理科学使用抗生素，严厉打击滥用抗生素现象，开展兽用抗菌药使用减量化试点推广。力争畜产品质量安全抽检合格率保持在100%。</w:t>
      </w:r>
    </w:p>
    <w:p w14:paraId="03609CCC">
      <w:pPr>
        <w:keepNext w:val="0"/>
        <w:keepLines w:val="0"/>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三是保障畜禽产品质量安全。严格落实畜禽屠宰企业主体责任，落实进厂（场）查验、肉品品质检验、产品出厂（场）“瘦肉精”自检、病死畜禽无害化处理、问题畜禽产品召回和安全生产管理等制度。加强对屠宰设施设备的消毒，落实肉类加工等各项措施，保证肉品质量安全。规范委托屠宰行为，明确畜禽产品质量安全责任和问题产品召回处理责任，鼓励屠宰企业开展养殖、屠宰、加工、配送、销售一体化服务。建立屠宰企业信用档案，记录屠宰企业监督检查结果和违法行为查处等情况。设立投诉举报电话，及时处理群众举报的违法违规行为。保持高压严打态势，从严处理私屠滥宰、注水注药、屠宰病死畜禽等违法行为。力争全县不发生重大畜禽产品质量安全事件和养殖污染事件。</w:t>
      </w:r>
    </w:p>
    <w:p w14:paraId="28B00D4D">
      <w:pPr>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p>
    <w:p w14:paraId="4903924F">
      <w:pPr>
        <w:pageBreakBefore w:val="0"/>
        <w:widowControl w:val="0"/>
        <w:kinsoku/>
        <w:wordWrap/>
        <w:overflowPunct/>
        <w:topLinePunct w:val="0"/>
        <w:autoSpaceDE/>
        <w:autoSpaceDN/>
        <w:bidi w:val="0"/>
        <w:adjustRightInd w:val="0"/>
        <w:snapToGrid w:val="0"/>
        <w:spacing w:line="600" w:lineRule="exact"/>
        <w:ind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br w:type="page"/>
      </w:r>
    </w:p>
    <w:p w14:paraId="18131E32">
      <w:pPr>
        <w:pStyle w:val="2"/>
        <w:bidi w:val="0"/>
        <w:rPr>
          <w:rStyle w:val="19"/>
          <w:rFonts w:hint="default" w:ascii="Times New Roman" w:hAnsi="Times New Roman" w:eastAsia="方正小标宋简体" w:cs="Times New Roman"/>
          <w:b w:val="0"/>
          <w:bCs w:val="0"/>
          <w:color w:val="auto"/>
          <w:szCs w:val="44"/>
          <w:highlight w:val="none"/>
          <w:u w:val="none"/>
          <w:lang w:val="en-US" w:eastAsia="zh-CN"/>
        </w:rPr>
      </w:pPr>
      <w:bookmarkStart w:id="71" w:name="_Toc8863"/>
      <w:bookmarkStart w:id="72" w:name="_Toc18281"/>
      <w:r>
        <w:rPr>
          <w:rStyle w:val="19"/>
          <w:rFonts w:hint="default" w:ascii="Times New Roman" w:hAnsi="Times New Roman" w:eastAsia="方正小标宋简体" w:cs="Times New Roman"/>
          <w:b w:val="0"/>
          <w:bCs w:val="0"/>
          <w:color w:val="auto"/>
          <w:szCs w:val="44"/>
          <w:highlight w:val="none"/>
          <w:u w:val="none"/>
          <w:lang w:val="en-US" w:eastAsia="zh-CN"/>
        </w:rPr>
        <w:t>第五章</w:t>
      </w:r>
      <w:r>
        <w:rPr>
          <w:rStyle w:val="19"/>
          <w:rFonts w:hint="eastAsia" w:ascii="Times New Roman" w:hAnsi="Times New Roman" w:cs="Times New Roman"/>
          <w:b w:val="0"/>
          <w:bCs w:val="0"/>
          <w:color w:val="auto"/>
          <w:szCs w:val="44"/>
          <w:highlight w:val="none"/>
          <w:u w:val="none"/>
          <w:lang w:val="en-US" w:eastAsia="zh-CN"/>
        </w:rPr>
        <w:t xml:space="preserve"> </w:t>
      </w:r>
      <w:r>
        <w:rPr>
          <w:rStyle w:val="19"/>
          <w:rFonts w:hint="default" w:ascii="Times New Roman" w:hAnsi="Times New Roman" w:eastAsia="方正小标宋简体" w:cs="Times New Roman"/>
          <w:b w:val="0"/>
          <w:bCs w:val="0"/>
          <w:color w:val="auto"/>
          <w:szCs w:val="44"/>
          <w:highlight w:val="none"/>
          <w:u w:val="none"/>
          <w:lang w:val="en-US" w:eastAsia="zh-CN"/>
        </w:rPr>
        <w:t>重点工程项目</w:t>
      </w:r>
      <w:bookmarkEnd w:id="71"/>
      <w:bookmarkEnd w:id="72"/>
    </w:p>
    <w:p w14:paraId="0E393304">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根据夹江县畜牧业发展目标和总体思路，结合蛋鸡、生猪、肉牛、肉鸭、兔、奶牛产业现有实际</w:t>
      </w:r>
      <w:r>
        <w:rPr>
          <w:rFonts w:hint="eastAsia" w:ascii="Times New Roman" w:hAnsi="Times New Roman" w:cs="Times New Roman"/>
          <w:color w:val="auto"/>
          <w:highlight w:val="none"/>
          <w:lang w:val="en-US" w:eastAsia="zh-CN"/>
        </w:rPr>
        <w:t>情况</w:t>
      </w:r>
      <w:r>
        <w:rPr>
          <w:rFonts w:hint="default" w:ascii="Times New Roman" w:hAnsi="Times New Roman" w:eastAsia="仿宋_GB2312" w:cs="Times New Roman"/>
          <w:color w:val="auto"/>
          <w:highlight w:val="none"/>
          <w:lang w:val="en-US" w:eastAsia="zh-CN"/>
        </w:rPr>
        <w:t>，将重点建设项目分为六大类，分别为现代种业提升工程、现代化养殖基地扩面工程、精深加工能力提升工程、商贸物流增效工程、畜禽养殖污染治理工程、公共服务体系工程。</w:t>
      </w:r>
    </w:p>
    <w:p w14:paraId="6FD1810D">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73" w:name="_Toc30761"/>
      <w:bookmarkStart w:id="74" w:name="_Toc8121"/>
      <w:r>
        <w:rPr>
          <w:rFonts w:hint="eastAsia" w:ascii="Times New Roman" w:hAnsi="Times New Roman" w:eastAsia="黑体" w:cs="Times New Roman"/>
          <w:b w:val="0"/>
          <w:bCs/>
          <w:strike w:val="0"/>
          <w:dstrike w:val="0"/>
          <w:color w:val="auto"/>
          <w:kern w:val="2"/>
          <w:sz w:val="32"/>
          <w:szCs w:val="32"/>
          <w:lang w:val="en-US" w:eastAsia="zh-CN" w:bidi="ar-SA"/>
        </w:rPr>
        <w:t>一、</w:t>
      </w:r>
      <w:r>
        <w:rPr>
          <w:rFonts w:hint="default" w:ascii="Times New Roman" w:hAnsi="Times New Roman" w:eastAsia="黑体" w:cs="Times New Roman"/>
          <w:b w:val="0"/>
          <w:bCs/>
          <w:strike w:val="0"/>
          <w:dstrike w:val="0"/>
          <w:color w:val="auto"/>
          <w:kern w:val="2"/>
          <w:sz w:val="32"/>
          <w:szCs w:val="32"/>
          <w:lang w:val="en-US" w:eastAsia="zh-CN" w:bidi="ar-SA"/>
        </w:rPr>
        <w:t>现代种业提升工程</w:t>
      </w:r>
      <w:bookmarkEnd w:id="73"/>
      <w:bookmarkEnd w:id="74"/>
    </w:p>
    <w:p w14:paraId="748F5B40">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r>
        <w:rPr>
          <w:rStyle w:val="19"/>
          <w:rFonts w:hint="default" w:ascii="Times New Roman" w:hAnsi="Times New Roman" w:eastAsia="仿宋" w:cs="Times New Roman"/>
          <w:bCs/>
          <w:strike w:val="0"/>
          <w:dstrike w:val="0"/>
          <w:color w:val="auto"/>
          <w:szCs w:val="32"/>
          <w:highlight w:val="none"/>
          <w:u w:val="none"/>
          <w:lang w:val="en-US" w:eastAsia="zh-CN"/>
        </w:rPr>
        <w:t>（一）蛋鸡育种创新基地建设项目</w:t>
      </w:r>
    </w:p>
    <w:p w14:paraId="7963CA1B">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在新场镇刘水碾村新建蛋种鸡育种基地1个，配套13万只蛋鸡笼位与现代化智能育种养殖设备1套，涵盖智能化饲喂、环控、饮水、集蛋系统。建设1200㎡叶黄素功能蛋鸡舍1栋，完善管理用房、实验室、蛋库等设施，以及蛋鸡育种性能测定设备。</w:t>
      </w:r>
    </w:p>
    <w:p w14:paraId="1CBBC0D2">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75" w:name="_Toc13818"/>
      <w:bookmarkStart w:id="76" w:name="_Toc25701"/>
      <w:r>
        <w:rPr>
          <w:rFonts w:hint="eastAsia" w:ascii="Times New Roman" w:hAnsi="Times New Roman" w:eastAsia="黑体" w:cs="Times New Roman"/>
          <w:b w:val="0"/>
          <w:bCs/>
          <w:strike w:val="0"/>
          <w:dstrike w:val="0"/>
          <w:color w:val="auto"/>
          <w:kern w:val="2"/>
          <w:sz w:val="32"/>
          <w:szCs w:val="32"/>
          <w:lang w:val="en-US" w:eastAsia="zh-CN" w:bidi="ar-SA"/>
        </w:rPr>
        <w:t>二、</w:t>
      </w:r>
      <w:r>
        <w:rPr>
          <w:rFonts w:hint="default" w:ascii="Times New Roman" w:hAnsi="Times New Roman" w:eastAsia="黑体" w:cs="Times New Roman"/>
          <w:b w:val="0"/>
          <w:bCs/>
          <w:strike w:val="0"/>
          <w:dstrike w:val="0"/>
          <w:color w:val="auto"/>
          <w:kern w:val="2"/>
          <w:sz w:val="32"/>
          <w:szCs w:val="32"/>
          <w:lang w:val="en-US" w:eastAsia="zh-CN" w:bidi="ar-SA"/>
        </w:rPr>
        <w:t>现代化养殖基地建设工程</w:t>
      </w:r>
      <w:bookmarkEnd w:id="75"/>
      <w:bookmarkEnd w:id="76"/>
    </w:p>
    <w:p w14:paraId="1E289DF0">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r>
        <w:rPr>
          <w:rStyle w:val="19"/>
          <w:rFonts w:hint="default" w:ascii="Times New Roman" w:hAnsi="Times New Roman" w:eastAsia="仿宋" w:cs="Times New Roman"/>
          <w:bCs/>
          <w:strike w:val="0"/>
          <w:dstrike w:val="0"/>
          <w:color w:val="auto"/>
          <w:szCs w:val="32"/>
          <w:highlight w:val="none"/>
          <w:u w:val="none"/>
          <w:lang w:val="en-US" w:eastAsia="zh-CN"/>
        </w:rPr>
        <w:t>（一）生猪规模养殖场建设项目</w:t>
      </w:r>
    </w:p>
    <w:p w14:paraId="043A0BAD">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新建存栏量8500头种猪场1个，新建年出栏5000头育肥场1个，提升改造生猪育肥场5个，因地制宜推广绿色高效养殖模式，集成畜禽养殖先进技术与设施设备，配套自动化、智能化信息控制系统。</w:t>
      </w:r>
    </w:p>
    <w:p w14:paraId="76398147">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r>
        <w:rPr>
          <w:rStyle w:val="19"/>
          <w:rFonts w:hint="default" w:ascii="Times New Roman" w:hAnsi="Times New Roman" w:eastAsia="仿宋" w:cs="Times New Roman"/>
          <w:bCs/>
          <w:strike w:val="0"/>
          <w:dstrike w:val="0"/>
          <w:color w:val="auto"/>
          <w:szCs w:val="32"/>
          <w:highlight w:val="none"/>
          <w:u w:val="none"/>
          <w:lang w:val="en-US" w:eastAsia="zh-CN"/>
        </w:rPr>
        <w:t>（二）夹江县宏森现代化蛋鸡养殖建设项目</w:t>
      </w:r>
    </w:p>
    <w:p w14:paraId="183699B9">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在吴场镇的夹江宏森养殖场扩建12万只规模蛋鸡舍。新建1600㎡现代化蛋鸡舍1栋，蛋鸡笼位12万只，配套相关的养殖设施设备；建设园区监控室、化验实验室；饲料加工车间，存料库房及饲料制作设备、鸡粪资源化利用设备1套。配套自动喂料系统1套，智能环控系统1套，自动清粪系统1套，智能照</w:t>
      </w:r>
      <w:r>
        <w:rPr>
          <w:rFonts w:hint="default" w:ascii="Times New Roman" w:hAnsi="Times New Roman" w:cs="Times New Roman"/>
          <w:color w:val="auto"/>
          <w:highlight w:val="none"/>
          <w:lang w:val="en-US" w:eastAsia="zh-CN"/>
        </w:rPr>
        <w:t>明系统1套，智能饮水系统1套，自动集蛋系统1套。</w:t>
      </w:r>
    </w:p>
    <w:p w14:paraId="22EAE34F">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r>
        <w:rPr>
          <w:rStyle w:val="19"/>
          <w:rFonts w:hint="default" w:ascii="Times New Roman" w:hAnsi="Times New Roman" w:eastAsia="仿宋" w:cs="Times New Roman"/>
          <w:bCs/>
          <w:strike w:val="0"/>
          <w:dstrike w:val="0"/>
          <w:color w:val="auto"/>
          <w:szCs w:val="32"/>
          <w:highlight w:val="none"/>
          <w:u w:val="none"/>
          <w:lang w:val="en-US" w:eastAsia="zh-CN"/>
        </w:rPr>
        <w:t>（三）夹江县亚庆农牧现代化蛋鸡养殖建设项目</w:t>
      </w:r>
    </w:p>
    <w:p w14:paraId="57C598E6">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在吴场镇的亚庆农牧扩建36万只规模蛋鸡圈舍。新建蛋鸡舍3栋面积5800㎡，配套蛋鸡笼位36万只，建设蛋库1个，鸡粪资源化利用设备1套，智能化监控系统1套，管理用房及配套附属设施等。配套自动喂料系统3套、智能环控系统3套、智能饮水系统3套、自动集蛋系统3套、自动清粪系统3套，购置自动分拣、消毒等设备。</w:t>
      </w:r>
    </w:p>
    <w:p w14:paraId="3613F604">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r>
        <w:rPr>
          <w:rStyle w:val="19"/>
          <w:rFonts w:hint="default" w:ascii="Times New Roman" w:hAnsi="Times New Roman" w:eastAsia="仿宋" w:cs="Times New Roman"/>
          <w:bCs/>
          <w:strike w:val="0"/>
          <w:dstrike w:val="0"/>
          <w:color w:val="auto"/>
          <w:szCs w:val="32"/>
          <w:highlight w:val="none"/>
          <w:u w:val="none"/>
          <w:lang w:val="en-US" w:eastAsia="zh-CN"/>
        </w:rPr>
        <w:t>（四）夹江县鼎盛农业现代化蛋鸡养殖建设项目</w:t>
      </w:r>
    </w:p>
    <w:p w14:paraId="4C799544">
      <w:pPr>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在新场镇新建现代化蛋鸡舍8栋，面积12800㎡，蛋鸡笼位100万只，配套相关的养殖设施设备；建设管理用房、化验实验室；建设饲料加工车间，配套存料库房、饲料加工等设备，发电机2组，输电线路1套，变压器2套（800KV），鸡粪资源化利用设备1套。配套自动喂料系统6套，智能环控系统8套，自动清粪系统8套，智能照明系统8套，智能饮水系统8套，自动集蛋系统8套。</w:t>
      </w:r>
    </w:p>
    <w:p w14:paraId="0E19B569">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r>
        <w:rPr>
          <w:rStyle w:val="19"/>
          <w:rFonts w:hint="default" w:ascii="Times New Roman" w:hAnsi="Times New Roman" w:eastAsia="仿宋" w:cs="Times New Roman"/>
          <w:bCs/>
          <w:strike w:val="0"/>
          <w:dstrike w:val="0"/>
          <w:color w:val="auto"/>
          <w:szCs w:val="32"/>
          <w:highlight w:val="none"/>
          <w:u w:val="none"/>
          <w:lang w:val="en-US" w:eastAsia="zh-CN"/>
        </w:rPr>
        <w:t>（五）夹江县厚全现代化蛋鸡养殖建设项目</w:t>
      </w:r>
    </w:p>
    <w:p w14:paraId="61322804">
      <w:pPr>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在吴场镇新建150万只规模现代化蛋鸡养殖基地。建设全智能自动化蛋鸡舍8栋，建筑面积17000㎡，蛋鸡笼位150万只，配套相关的养殖设施设备，建设管理用房、蛋库及附属设施，数字化管理系统1套，监控设备1套，应急备用电力设施1套，用水和饮水设施1套；电力、管网、防疫等设施，配套环保设备（含除臭）1套。配套自动喂料系统8套，智能环控系统8套，自动清粪系统8套，智能照明系统8套，智能饮水系统8套，自动集蛋系统8套。</w:t>
      </w:r>
    </w:p>
    <w:p w14:paraId="1B236A03">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r>
        <w:rPr>
          <w:rStyle w:val="19"/>
          <w:rFonts w:hint="default" w:ascii="Times New Roman" w:hAnsi="Times New Roman" w:eastAsia="仿宋" w:cs="Times New Roman"/>
          <w:bCs/>
          <w:strike w:val="0"/>
          <w:dstrike w:val="0"/>
          <w:color w:val="auto"/>
          <w:szCs w:val="32"/>
          <w:highlight w:val="none"/>
          <w:u w:val="none"/>
          <w:lang w:val="en-US" w:eastAsia="zh-CN"/>
        </w:rPr>
        <w:t>（六）夹江县升鸡沟现代化蛋鸡养殖建设项目</w:t>
      </w:r>
    </w:p>
    <w:p w14:paraId="002ECCAC">
      <w:pPr>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在木城镇的升鸡沟扩建54万只规模蛋鸡舍。建设全智能自动化蛋鸡舍4栋，建筑面积6800㎡，蛋鸡笼位54万只，配套相关的养殖设施设备，建设管理用房及附属设施。配套环保设备（含除臭）1套，数字化管理系统1套，监控设备1套，应急备用电力设施1套，用水和饮水设施1套；电力、管网、防疫等设施。配套自动喂料系统4套，智能环控系统4套，自动清粪系统4套，智能照明系统4套，智能饮水系统4套，自动集蛋系统4套。</w:t>
      </w:r>
    </w:p>
    <w:p w14:paraId="76250835">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r>
        <w:rPr>
          <w:rStyle w:val="19"/>
          <w:rFonts w:hint="default" w:ascii="Times New Roman" w:hAnsi="Times New Roman" w:eastAsia="仿宋" w:cs="Times New Roman"/>
          <w:bCs/>
          <w:strike w:val="0"/>
          <w:dstrike w:val="0"/>
          <w:color w:val="auto"/>
          <w:szCs w:val="32"/>
          <w:highlight w:val="none"/>
          <w:u w:val="none"/>
          <w:lang w:val="en-US" w:eastAsia="zh-CN"/>
        </w:rPr>
        <w:t>（七）夹江县厚坤农牧现代化蛋鸡养殖建设项目</w:t>
      </w:r>
    </w:p>
    <w:p w14:paraId="720F375A">
      <w:pPr>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在黄土镇的厚坤农牧扩建39万只规模蛋鸡舍。建设全智能自动化蛋鸡舍3栋，建筑面积5100㎡，蛋鸡笼位39万只，配套相关的养殖设施设备，建设管理用房及附属设施。配套环保设备（含除臭）1套，数字化管理系统1套，监控设备1套，应急备用电力设施1套；电力、管网、防疫等设施。配套自动喂料系统3套，智能环控系统3套，自动清粪系统3套，智能照明系统3套，智能饮水系统3套，自动集蛋系统3套。</w:t>
      </w:r>
    </w:p>
    <w:p w14:paraId="1AA294FE">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r>
        <w:rPr>
          <w:rStyle w:val="19"/>
          <w:rFonts w:hint="default" w:ascii="Times New Roman" w:hAnsi="Times New Roman" w:eastAsia="仿宋" w:cs="Times New Roman"/>
          <w:bCs/>
          <w:strike w:val="0"/>
          <w:dstrike w:val="0"/>
          <w:color w:val="auto"/>
          <w:szCs w:val="32"/>
          <w:highlight w:val="none"/>
          <w:u w:val="none"/>
          <w:lang w:val="en-US" w:eastAsia="zh-CN"/>
        </w:rPr>
        <w:t>（八）夹江县建川现代化蛋鸡养殖建设项目</w:t>
      </w:r>
    </w:p>
    <w:p w14:paraId="2F28B3F3">
      <w:pPr>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在吴场镇新建100万只规模现代化蛋鸡场。建设现代化蛋鸡舍6栋，建筑面积12000㎡，配套蛋鸡笼位100万只、24个料塔及自动输送系统、环保设备（含除臭）1套、数字化管理系统1套、监控系统1套、应急备用电力设施1套、电力、管网、防疫等设施设备，建设管理用房及附属设施。配套全自动化智能养殖设备6套（包含自动喂料系统、智能环控系统、自动清粪系统、智能照明系统、智能饮水系统），自动集蛋、分拣、包装系统6套。</w:t>
      </w:r>
    </w:p>
    <w:p w14:paraId="7A063AF0">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r>
        <w:rPr>
          <w:rStyle w:val="19"/>
          <w:rFonts w:hint="default" w:ascii="Times New Roman" w:hAnsi="Times New Roman" w:eastAsia="仿宋" w:cs="Times New Roman"/>
          <w:bCs/>
          <w:strike w:val="0"/>
          <w:dstrike w:val="0"/>
          <w:color w:val="auto"/>
          <w:szCs w:val="32"/>
          <w:highlight w:val="none"/>
          <w:u w:val="none"/>
          <w:lang w:val="en-US" w:eastAsia="zh-CN"/>
        </w:rPr>
        <w:t>（九）夹江县宏运山现代化蛋鸡养殖建设项目</w:t>
      </w:r>
    </w:p>
    <w:p w14:paraId="53865D70">
      <w:pPr>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在吴场镇新建26万只规模现代化蛋鸡场。新建蛋鸡舍2栋，面积3400㎡，蛋鸡笼位26万只，配套饲料加工厂房、饲料输送系统、环保设施设备、数字化管理系统、防疫等其他设施设备。配套自动喂料系统2套，智能环控系统2套，自动清粪系统2套，智能照明系统2套，智能饮水系统2套，自动集蛋系统2套。</w:t>
      </w:r>
    </w:p>
    <w:p w14:paraId="5D1CFF0F">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r>
        <w:rPr>
          <w:rStyle w:val="19"/>
          <w:rFonts w:hint="default" w:ascii="Times New Roman" w:hAnsi="Times New Roman" w:eastAsia="仿宋" w:cs="Times New Roman"/>
          <w:bCs/>
          <w:strike w:val="0"/>
          <w:dstrike w:val="0"/>
          <w:color w:val="auto"/>
          <w:szCs w:val="32"/>
          <w:highlight w:val="none"/>
          <w:u w:val="none"/>
          <w:lang w:val="en-US" w:eastAsia="zh-CN"/>
        </w:rPr>
        <w:t>（十）夹江县兴牧源现代化蛋鸡养殖建设项目</w:t>
      </w:r>
    </w:p>
    <w:p w14:paraId="47FB893F">
      <w:pPr>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在马村镇新建120万只规模现代化蛋鸡场。建设标准化数字化自动化蛋鸡舍11栋（含青年鸡舍2栋），共18700㎡，建设饲料加工厂房1栋，配套蛋鸡笼位124万只，智能鸡蛋分拣分级厂房1栋，22个料塔及饲料自动输送系统、环保设备（含除臭）1套、数字化管理系统1套、监控系统1套、应急备用电力设施1套、电力、管网、防疫、储存库房，建设管理用房及附属设施。配套自动喂料系统11套，智能环控系统11套，项目自动清粪系统11套，智能照明系统11套，智能饮水系统11套，自动集蛋、分拣、包装系统11套。</w:t>
      </w:r>
    </w:p>
    <w:p w14:paraId="11FDB936">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r>
        <w:rPr>
          <w:rStyle w:val="19"/>
          <w:rFonts w:hint="default" w:ascii="Times New Roman" w:hAnsi="Times New Roman" w:eastAsia="仿宋" w:cs="Times New Roman"/>
          <w:bCs/>
          <w:strike w:val="0"/>
          <w:dstrike w:val="0"/>
          <w:color w:val="auto"/>
          <w:szCs w:val="32"/>
          <w:highlight w:val="none"/>
          <w:u w:val="none"/>
          <w:lang w:val="en-US" w:eastAsia="zh-CN"/>
        </w:rPr>
        <w:t>（十一）夹江县厚全现代化青年鸡养殖建设项目</w:t>
      </w:r>
    </w:p>
    <w:p w14:paraId="40A28A20">
      <w:pPr>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在马村镇新建1000万只青年鸡规模现代化青年鸡场。修建现代化鸡舍12栋以及其他相关配套设施，建成后年出栏青年鸡1000万羽，为亚洲单体最大的青年鸡场。</w:t>
      </w:r>
    </w:p>
    <w:p w14:paraId="046913CC">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77" w:name="_Toc32315"/>
      <w:bookmarkStart w:id="78" w:name="_Toc11630"/>
      <w:r>
        <w:rPr>
          <w:rFonts w:hint="eastAsia" w:ascii="Times New Roman" w:hAnsi="Times New Roman" w:eastAsia="黑体" w:cs="Times New Roman"/>
          <w:b w:val="0"/>
          <w:bCs/>
          <w:strike w:val="0"/>
          <w:dstrike w:val="0"/>
          <w:color w:val="auto"/>
          <w:kern w:val="2"/>
          <w:sz w:val="32"/>
          <w:szCs w:val="32"/>
          <w:lang w:val="en-US" w:eastAsia="zh-CN" w:bidi="ar-SA"/>
        </w:rPr>
        <w:t>三、</w:t>
      </w:r>
      <w:r>
        <w:rPr>
          <w:rFonts w:hint="default" w:ascii="Times New Roman" w:hAnsi="Times New Roman" w:eastAsia="黑体" w:cs="Times New Roman"/>
          <w:b w:val="0"/>
          <w:bCs/>
          <w:strike w:val="0"/>
          <w:dstrike w:val="0"/>
          <w:color w:val="auto"/>
          <w:kern w:val="2"/>
          <w:sz w:val="32"/>
          <w:szCs w:val="32"/>
          <w:lang w:val="en-US" w:eastAsia="zh-CN" w:bidi="ar-SA"/>
        </w:rPr>
        <w:t>精深加工能力提升工程</w:t>
      </w:r>
      <w:bookmarkEnd w:id="77"/>
      <w:bookmarkEnd w:id="78"/>
    </w:p>
    <w:p w14:paraId="731626C0">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r>
        <w:rPr>
          <w:rStyle w:val="19"/>
          <w:rFonts w:hint="eastAsia" w:ascii="Times New Roman" w:hAnsi="Times New Roman" w:eastAsia="仿宋" w:cs="Times New Roman"/>
          <w:bCs/>
          <w:strike w:val="0"/>
          <w:dstrike w:val="0"/>
          <w:color w:val="auto"/>
          <w:szCs w:val="32"/>
          <w:highlight w:val="none"/>
          <w:u w:val="none"/>
          <w:lang w:val="en-US" w:eastAsia="zh-CN"/>
        </w:rPr>
        <w:t>（一）</w:t>
      </w:r>
      <w:r>
        <w:rPr>
          <w:rStyle w:val="19"/>
          <w:rFonts w:hint="default" w:ascii="Times New Roman" w:hAnsi="Times New Roman" w:eastAsia="仿宋" w:cs="Times New Roman"/>
          <w:bCs/>
          <w:strike w:val="0"/>
          <w:dstrike w:val="0"/>
          <w:color w:val="auto"/>
          <w:szCs w:val="32"/>
          <w:highlight w:val="none"/>
          <w:u w:val="none"/>
          <w:lang w:val="en-US" w:eastAsia="zh-CN"/>
        </w:rPr>
        <w:t>生猪屠宰能力提升项目</w:t>
      </w:r>
    </w:p>
    <w:p w14:paraId="07F8B149">
      <w:pPr>
        <w:pageBreakBefore w:val="0"/>
        <w:widowControl w:val="0"/>
        <w:numPr>
          <w:ilvl w:val="0"/>
          <w:numId w:val="0"/>
        </w:numPr>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新场镇、吴场镇、甘江镇等生猪养殖重点乡镇，根据生猪屠宰质量管理规范，提升改造年屠宰6万头的企业1个，迁建年屠宰15万头企业1个。</w:t>
      </w:r>
    </w:p>
    <w:p w14:paraId="0CF5D033">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r>
        <w:rPr>
          <w:rStyle w:val="19"/>
          <w:rFonts w:hint="default" w:ascii="Times New Roman" w:hAnsi="Times New Roman" w:eastAsia="仿宋" w:cs="Times New Roman"/>
          <w:bCs/>
          <w:strike w:val="0"/>
          <w:dstrike w:val="0"/>
          <w:color w:val="auto"/>
          <w:szCs w:val="32"/>
          <w:highlight w:val="none"/>
          <w:u w:val="none"/>
          <w:lang w:val="en-US" w:eastAsia="zh-CN"/>
        </w:rPr>
        <w:t>（二）建瓴蛋鸡精深加工建设项目</w:t>
      </w:r>
    </w:p>
    <w:p w14:paraId="2FDA28A3">
      <w:pPr>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在甘江镇甘霖村新建蛋鸡（老母鸡）精深加工项目</w:t>
      </w:r>
      <w:r>
        <w:rPr>
          <w:rFonts w:hint="eastAsia" w:ascii="Times New Roman" w:hAnsi="Times New Roman" w:cs="Times New Roman"/>
          <w:color w:val="auto"/>
          <w:highlight w:val="none"/>
          <w:lang w:val="en-US" w:eastAsia="zh-CN"/>
        </w:rPr>
        <w:t>，</w:t>
      </w:r>
      <w:r>
        <w:rPr>
          <w:rFonts w:hint="default" w:ascii="Times New Roman" w:hAnsi="Times New Roman" w:eastAsia="仿宋_GB2312" w:cs="Times New Roman"/>
          <w:color w:val="auto"/>
          <w:highlight w:val="none"/>
          <w:lang w:val="en-US" w:eastAsia="zh-CN"/>
        </w:rPr>
        <w:t>建设蛋鸡精深加工车间10000㎡，研发冰鲜净膛老母鸡，药膳鸡汤包、禽肉休闲食品实验室，冷库1座，储存能力2万吨左右，速冻库6个共3000㎡，管理用房1000㎡，沥水池2000m³。配套蛋鸡屠宰加工设备1套；蛋鸡分割、速冷、真空嫩化腌制、包装系统1套；智能切块、切片线1套；连续式预煮及预冷线1套；智能入味复煮线1套；真空充氮枕式内包装线1套；二次灭菌反压漫入式杀菌系统1套；过冷式速冻线1套；精深加工生产线2条；数字化管理系统1套；水电、污水处理系统，食品安全检测等设施设备。</w:t>
      </w:r>
    </w:p>
    <w:p w14:paraId="03B86D0C">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r>
        <w:rPr>
          <w:rStyle w:val="19"/>
          <w:rFonts w:hint="default" w:ascii="Times New Roman" w:hAnsi="Times New Roman" w:eastAsia="仿宋" w:cs="Times New Roman"/>
          <w:bCs/>
          <w:strike w:val="0"/>
          <w:dstrike w:val="0"/>
          <w:color w:val="auto"/>
          <w:szCs w:val="32"/>
          <w:highlight w:val="none"/>
          <w:u w:val="none"/>
          <w:lang w:val="en-US" w:eastAsia="zh-CN"/>
        </w:rPr>
        <w:t>（三）飞越食品鸡蛋精深加工建设项目</w:t>
      </w:r>
    </w:p>
    <w:p w14:paraId="57BB671A">
      <w:pPr>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在甘江镇甘霖村建设鸡蛋食品精深加工项目，年处理蛋品能力4万吨。建设鸡蛋食品精深加工厂，建筑面积1.5万㎡；鸡蛋储存恒温冻库1栋，配套水电，污水处理等设施；产品研发、检测实验室1个；配套数字化管理系统1套、监控系统1套、应急备用电力设施1套；配套全智能化清洗、消毒、杀菌等处理设备3套；蛋液蛋黄分离加工设施设备3套；蛋黄粉，蛋白粉加工设备1套；蛋黄酱加工设备等3套；电力、管网、储存库房，建设管理用房及附属设施。</w:t>
      </w:r>
    </w:p>
    <w:p w14:paraId="1F137B7E">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79" w:name="_Toc32653"/>
      <w:bookmarkStart w:id="80" w:name="_Toc12235"/>
      <w:r>
        <w:rPr>
          <w:rFonts w:hint="eastAsia" w:ascii="Times New Roman" w:hAnsi="Times New Roman" w:eastAsia="黑体" w:cs="Times New Roman"/>
          <w:b w:val="0"/>
          <w:bCs/>
          <w:strike w:val="0"/>
          <w:dstrike w:val="0"/>
          <w:color w:val="auto"/>
          <w:kern w:val="2"/>
          <w:sz w:val="32"/>
          <w:szCs w:val="32"/>
          <w:lang w:val="en-US" w:eastAsia="zh-CN" w:bidi="ar-SA"/>
        </w:rPr>
        <w:t>四、</w:t>
      </w:r>
      <w:r>
        <w:rPr>
          <w:rFonts w:hint="default" w:ascii="Times New Roman" w:hAnsi="Times New Roman" w:eastAsia="黑体" w:cs="Times New Roman"/>
          <w:b w:val="0"/>
          <w:bCs/>
          <w:strike w:val="0"/>
          <w:dstrike w:val="0"/>
          <w:color w:val="auto"/>
          <w:kern w:val="2"/>
          <w:sz w:val="32"/>
          <w:szCs w:val="32"/>
          <w:lang w:val="en-US" w:eastAsia="zh-CN" w:bidi="ar-SA"/>
        </w:rPr>
        <w:t>畜禽养殖污染治理工程</w:t>
      </w:r>
      <w:bookmarkEnd w:id="79"/>
      <w:bookmarkEnd w:id="80"/>
    </w:p>
    <w:p w14:paraId="4F307FDF">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r>
        <w:rPr>
          <w:rStyle w:val="19"/>
          <w:rFonts w:hint="default" w:ascii="Times New Roman" w:hAnsi="Times New Roman" w:eastAsia="仿宋" w:cs="Times New Roman"/>
          <w:bCs/>
          <w:strike w:val="0"/>
          <w:dstrike w:val="0"/>
          <w:color w:val="auto"/>
          <w:szCs w:val="32"/>
          <w:highlight w:val="none"/>
          <w:u w:val="none"/>
          <w:lang w:val="en-US" w:eastAsia="zh-CN"/>
        </w:rPr>
        <w:t>（一）畜禽粪污资源化利用项目</w:t>
      </w:r>
    </w:p>
    <w:p w14:paraId="33564996">
      <w:pPr>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eastAsia="zh-CN"/>
        </w:rPr>
        <w:t>对全县24家规模畜禽养殖场户进行畜禽粪污资源化利用“一场一策”改造。以上24家规模企业中，生猪养殖企业有11家，能繁母猪养殖企业2家蛋鸡养殖企业5家，奶牛养殖企业1家，肉牛养殖企业3家，肉鸭养殖企业2家，兔养殖企业1家。完善畜禽粪污资源化利用设施设备，因地制宜建设经济高效堆沤肥、贮存发酵、沼气发酵等处理设施，加强收储运设施设备建设，培育社会化粪肥施用服务组织，重点扩大粮食作物畜禽粪肥施用面积，提升耕地土壤有机质。</w:t>
      </w:r>
      <w:r>
        <w:rPr>
          <w:rFonts w:hint="default" w:ascii="Times New Roman" w:hAnsi="Times New Roman" w:eastAsia="仿宋_GB2312" w:cs="Times New Roman"/>
          <w:color w:val="auto"/>
          <w:highlight w:val="none"/>
        </w:rPr>
        <w:t>在</w:t>
      </w:r>
      <w:r>
        <w:rPr>
          <w:rFonts w:hint="default" w:ascii="Times New Roman" w:hAnsi="Times New Roman" w:eastAsia="仿宋_GB2312" w:cs="Times New Roman"/>
          <w:color w:val="auto"/>
          <w:highlight w:val="none"/>
          <w:lang w:eastAsia="zh-CN"/>
        </w:rPr>
        <w:t>畜禽</w:t>
      </w:r>
      <w:r>
        <w:rPr>
          <w:rFonts w:hint="default" w:ascii="Times New Roman" w:hAnsi="Times New Roman" w:eastAsia="仿宋_GB2312" w:cs="Times New Roman"/>
          <w:color w:val="auto"/>
          <w:highlight w:val="none"/>
        </w:rPr>
        <w:t>集中养殖区域，打造规模大、效益好、带动能力强的种养循环示范基地</w:t>
      </w:r>
      <w:r>
        <w:rPr>
          <w:rFonts w:hint="default" w:ascii="Times New Roman" w:hAnsi="Times New Roman" w:eastAsia="仿宋_GB2312" w:cs="Times New Roman"/>
          <w:color w:val="auto"/>
          <w:highlight w:val="none"/>
          <w:lang w:val="en-US" w:eastAsia="zh-CN"/>
        </w:rPr>
        <w:t>10</w:t>
      </w:r>
      <w:r>
        <w:rPr>
          <w:rFonts w:hint="default" w:ascii="Times New Roman" w:hAnsi="Times New Roman" w:eastAsia="仿宋_GB2312" w:cs="Times New Roman"/>
          <w:color w:val="auto"/>
          <w:highlight w:val="none"/>
        </w:rPr>
        <w:t>个。</w:t>
      </w:r>
    </w:p>
    <w:p w14:paraId="5FF0020D">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81" w:name="_Toc15421"/>
      <w:bookmarkStart w:id="82" w:name="_Toc23152"/>
      <w:r>
        <w:rPr>
          <w:rFonts w:hint="eastAsia" w:ascii="Times New Roman" w:hAnsi="Times New Roman" w:eastAsia="黑体" w:cs="Times New Roman"/>
          <w:b w:val="0"/>
          <w:bCs/>
          <w:strike w:val="0"/>
          <w:dstrike w:val="0"/>
          <w:color w:val="auto"/>
          <w:kern w:val="2"/>
          <w:sz w:val="32"/>
          <w:szCs w:val="32"/>
          <w:lang w:val="en-US" w:eastAsia="zh-CN" w:bidi="ar-SA"/>
        </w:rPr>
        <w:t>五、</w:t>
      </w:r>
      <w:r>
        <w:rPr>
          <w:rFonts w:hint="default" w:ascii="Times New Roman" w:hAnsi="Times New Roman" w:eastAsia="黑体" w:cs="Times New Roman"/>
          <w:b w:val="0"/>
          <w:bCs/>
          <w:strike w:val="0"/>
          <w:dstrike w:val="0"/>
          <w:color w:val="auto"/>
          <w:kern w:val="2"/>
          <w:sz w:val="32"/>
          <w:szCs w:val="32"/>
          <w:lang w:val="en-US" w:eastAsia="zh-CN" w:bidi="ar-SA"/>
        </w:rPr>
        <w:t>公共服务体系工程</w:t>
      </w:r>
      <w:bookmarkEnd w:id="81"/>
      <w:bookmarkEnd w:id="82"/>
    </w:p>
    <w:p w14:paraId="6AFF5C87">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r>
        <w:rPr>
          <w:rStyle w:val="19"/>
          <w:rFonts w:hint="default" w:ascii="Times New Roman" w:hAnsi="Times New Roman" w:eastAsia="仿宋" w:cs="Times New Roman"/>
          <w:bCs/>
          <w:strike w:val="0"/>
          <w:dstrike w:val="0"/>
          <w:color w:val="auto"/>
          <w:szCs w:val="32"/>
          <w:highlight w:val="none"/>
          <w:u w:val="none"/>
          <w:lang w:val="en-US" w:eastAsia="zh-CN"/>
        </w:rPr>
        <w:t>（一）畜禽社会化服务能力提升项目</w:t>
      </w:r>
    </w:p>
    <w:p w14:paraId="01337875">
      <w:pPr>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支持畜禽品种改良第三方服务机构发展，提升生猪、肉牛等人工授精服务能力。支持畜禽粪污资源化利用、病死畜禽集中无害化处理专业机构配套先进设施装备，提升收集处理能力，推动养殖废弃物高效利用。发展基层兽医服务队伍，实施特聘动物防疫员计划，提升动物疫病防控能力。</w:t>
      </w:r>
    </w:p>
    <w:p w14:paraId="34962718">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r>
        <w:rPr>
          <w:rStyle w:val="19"/>
          <w:rFonts w:hint="default" w:ascii="Times New Roman" w:hAnsi="Times New Roman" w:eastAsia="仿宋" w:cs="Times New Roman"/>
          <w:bCs/>
          <w:strike w:val="0"/>
          <w:dstrike w:val="0"/>
          <w:color w:val="auto"/>
          <w:szCs w:val="32"/>
          <w:highlight w:val="none"/>
          <w:u w:val="none"/>
          <w:lang w:val="en-US" w:eastAsia="zh-CN"/>
        </w:rPr>
        <w:t>（二）畜禽名优品牌培育项目</w:t>
      </w:r>
    </w:p>
    <w:p w14:paraId="69BAFE5E">
      <w:pPr>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支持积极创建蛋鸡打造全国知名蛋鸡产品品牌1个以上，区域公用品牌1个，开展“三品一标”认定、名牌畜产品评选，争创著名商标，打造以蛋鸡、生猪、肉兔为主的夹江县特色畜禽品牌。鼓励发展面向畜禽产业的电商网购业务，拓展特色优势畜产品销售平台，通过新媒体、网红经济品牌联名等方式，提升产需对接效率，提升品牌价值。</w:t>
      </w:r>
    </w:p>
    <w:p w14:paraId="1B3A89EB">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3"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r>
        <w:rPr>
          <w:rStyle w:val="19"/>
          <w:rFonts w:hint="default" w:ascii="Times New Roman" w:hAnsi="Times New Roman" w:eastAsia="仿宋" w:cs="Times New Roman"/>
          <w:bCs/>
          <w:strike w:val="0"/>
          <w:dstrike w:val="0"/>
          <w:color w:val="auto"/>
          <w:szCs w:val="32"/>
          <w:highlight w:val="none"/>
          <w:u w:val="none"/>
          <w:lang w:val="en-US" w:eastAsia="zh-CN"/>
        </w:rPr>
        <w:t>（三）畜禽产业经营主体培育项目</w:t>
      </w:r>
    </w:p>
    <w:p w14:paraId="6DF43CA0">
      <w:pPr>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引育结合，围绕蛋鸡、生猪等主导产业，重点培育1个市值突破10亿元的引领企业，蛋鸡和生猪农业产业化联合体2个。</w:t>
      </w:r>
    </w:p>
    <w:p w14:paraId="504486E4">
      <w:pPr>
        <w:rPr>
          <w:rStyle w:val="19"/>
          <w:rFonts w:hint="default" w:ascii="Times New Roman" w:hAnsi="Times New Roman" w:eastAsia="方正小标宋简体" w:cs="Times New Roman"/>
          <w:b w:val="0"/>
          <w:bCs w:val="0"/>
          <w:color w:val="auto"/>
          <w:szCs w:val="44"/>
          <w:highlight w:val="none"/>
          <w:u w:val="none"/>
          <w:lang w:val="en-US" w:eastAsia="zh-CN"/>
        </w:rPr>
      </w:pPr>
      <w:bookmarkStart w:id="83" w:name="_Toc13115"/>
      <w:bookmarkStart w:id="84" w:name="_Toc17597"/>
      <w:r>
        <w:rPr>
          <w:rStyle w:val="19"/>
          <w:rFonts w:hint="default" w:ascii="Times New Roman" w:hAnsi="Times New Roman" w:eastAsia="方正小标宋简体" w:cs="Times New Roman"/>
          <w:b w:val="0"/>
          <w:bCs w:val="0"/>
          <w:color w:val="auto"/>
          <w:szCs w:val="44"/>
          <w:highlight w:val="none"/>
          <w:u w:val="none"/>
          <w:lang w:val="en-US" w:eastAsia="zh-CN"/>
        </w:rPr>
        <w:br w:type="page"/>
      </w:r>
    </w:p>
    <w:p w14:paraId="09F3DE94">
      <w:pPr>
        <w:pStyle w:val="2"/>
        <w:bidi w:val="0"/>
        <w:rPr>
          <w:rStyle w:val="19"/>
          <w:rFonts w:hint="default" w:ascii="Times New Roman" w:hAnsi="Times New Roman" w:eastAsia="方正小标宋简体" w:cs="Times New Roman"/>
          <w:b w:val="0"/>
          <w:bCs w:val="0"/>
          <w:color w:val="auto"/>
          <w:szCs w:val="44"/>
          <w:highlight w:val="none"/>
          <w:u w:val="none"/>
          <w:lang w:val="en-US" w:eastAsia="zh-CN"/>
        </w:rPr>
      </w:pPr>
      <w:r>
        <w:rPr>
          <w:rStyle w:val="19"/>
          <w:rFonts w:hint="default" w:ascii="Times New Roman" w:hAnsi="Times New Roman" w:eastAsia="方正小标宋简体" w:cs="Times New Roman"/>
          <w:b w:val="0"/>
          <w:bCs w:val="0"/>
          <w:color w:val="auto"/>
          <w:szCs w:val="44"/>
          <w:highlight w:val="none"/>
          <w:u w:val="none"/>
          <w:lang w:val="en-US" w:eastAsia="zh-CN"/>
        </w:rPr>
        <w:t>第六章</w:t>
      </w:r>
      <w:r>
        <w:rPr>
          <w:rStyle w:val="19"/>
          <w:rFonts w:hint="eastAsia" w:ascii="Times New Roman" w:hAnsi="Times New Roman" w:cs="Times New Roman"/>
          <w:b w:val="0"/>
          <w:bCs w:val="0"/>
          <w:color w:val="auto"/>
          <w:szCs w:val="44"/>
          <w:highlight w:val="none"/>
          <w:u w:val="none"/>
          <w:lang w:val="en-US" w:eastAsia="zh-CN"/>
        </w:rPr>
        <w:t xml:space="preserve"> </w:t>
      </w:r>
      <w:r>
        <w:rPr>
          <w:rStyle w:val="19"/>
          <w:rFonts w:hint="default" w:ascii="Times New Roman" w:hAnsi="Times New Roman" w:eastAsia="方正小标宋简体" w:cs="Times New Roman"/>
          <w:b w:val="0"/>
          <w:bCs w:val="0"/>
          <w:color w:val="auto"/>
          <w:szCs w:val="44"/>
          <w:highlight w:val="none"/>
          <w:u w:val="none"/>
          <w:lang w:val="en-US" w:eastAsia="zh-CN"/>
        </w:rPr>
        <w:t>保障措施</w:t>
      </w:r>
      <w:bookmarkEnd w:id="83"/>
      <w:bookmarkEnd w:id="84"/>
    </w:p>
    <w:p w14:paraId="010E847D">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85" w:name="_Toc15846"/>
      <w:bookmarkStart w:id="86" w:name="_Toc13424"/>
      <w:r>
        <w:rPr>
          <w:rFonts w:hint="default" w:ascii="Times New Roman" w:hAnsi="Times New Roman" w:eastAsia="黑体" w:cs="Times New Roman"/>
          <w:b w:val="0"/>
          <w:bCs/>
          <w:strike w:val="0"/>
          <w:dstrike w:val="0"/>
          <w:color w:val="auto"/>
          <w:kern w:val="2"/>
          <w:sz w:val="32"/>
          <w:szCs w:val="32"/>
          <w:lang w:val="en-US" w:eastAsia="zh-CN" w:bidi="ar-SA"/>
        </w:rPr>
        <w:t>一、加强组织领导</w:t>
      </w:r>
      <w:bookmarkEnd w:id="85"/>
      <w:bookmarkEnd w:id="86"/>
    </w:p>
    <w:p w14:paraId="4D6EE7DA">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针对“十五五”期间畜牧产业发展需求，建立县负总责、镇落实，部门协同、各方参与、共同建设的规划实施机制。通过统筹各方力量，压实主体责任，统筹产业发展规划和项目实施。把培育发展蛋鸡和生猪等全产业链建设作为重要任务，（专班）建立统筹推进、分工协作的工作机制，出台相应的配套支持政策。建立畜禽全产业链图谱和重大项目实施责任清单，保证项目的顺利实施。</w:t>
      </w:r>
    </w:p>
    <w:p w14:paraId="3941EB11">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87" w:name="_Toc28524"/>
      <w:bookmarkStart w:id="88" w:name="_Toc3248"/>
      <w:r>
        <w:rPr>
          <w:rFonts w:hint="default" w:ascii="Times New Roman" w:hAnsi="Times New Roman" w:eastAsia="黑体" w:cs="Times New Roman"/>
          <w:b w:val="0"/>
          <w:bCs/>
          <w:strike w:val="0"/>
          <w:dstrike w:val="0"/>
          <w:color w:val="auto"/>
          <w:kern w:val="2"/>
          <w:sz w:val="32"/>
          <w:szCs w:val="32"/>
          <w:lang w:val="en-US" w:eastAsia="zh-CN" w:bidi="ar-SA"/>
        </w:rPr>
        <w:t>二、强化财政支持</w:t>
      </w:r>
      <w:bookmarkEnd w:id="87"/>
      <w:bookmarkEnd w:id="88"/>
    </w:p>
    <w:p w14:paraId="62BAB405">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加大财政支持项目建设力度，优化补贴机制降低经营主体成本。财政要统筹安排中央财政农业生产发展资金指导性任务、省级财政现代农业发展工程资金、省级乡村振兴转移支付资金、衔接推进乡村振兴补助资金等，加大对全县畜牧百亿产业培育重点工作的支持，确保建设任务按时按量完成。</w:t>
      </w:r>
    </w:p>
    <w:p w14:paraId="47511E29">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89" w:name="_Toc1289"/>
      <w:bookmarkStart w:id="90" w:name="_Toc29767"/>
      <w:r>
        <w:rPr>
          <w:rFonts w:hint="default" w:ascii="Times New Roman" w:hAnsi="Times New Roman" w:eastAsia="黑体" w:cs="Times New Roman"/>
          <w:b w:val="0"/>
          <w:bCs/>
          <w:strike w:val="0"/>
          <w:dstrike w:val="0"/>
          <w:color w:val="auto"/>
          <w:kern w:val="2"/>
          <w:sz w:val="32"/>
          <w:szCs w:val="32"/>
          <w:lang w:val="en-US" w:eastAsia="zh-CN" w:bidi="ar-SA"/>
        </w:rPr>
        <w:t>三、强化用地保障</w:t>
      </w:r>
      <w:bookmarkEnd w:id="89"/>
      <w:bookmarkEnd w:id="90"/>
    </w:p>
    <w:p w14:paraId="1FEEB33F">
      <w:pPr>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严格落实国家用地政策，制订土地利用规划要切实考虑畜牧业用地规划，依照国家土地政策合理解决畜禽养殖土地占用问题，在稳定和完善农村基本经营制度，依法保障农民的土地承包经营权的前提下，可依据国家土地流转政策，留足和规划好畜牧发展用地，解决畜禽养殖业规模化、专业化发展的土地需要。保障养殖生产及其直接关联的检验检疫、清洗消毒、畜禽粪污处理、病死畜禽无害化处理等设施农业用地，确保养殖用地总量满足发展目标实现需要。</w:t>
      </w:r>
    </w:p>
    <w:p w14:paraId="7E7CCAEB">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91" w:name="_Toc6822"/>
      <w:bookmarkStart w:id="92" w:name="_Toc2083"/>
      <w:r>
        <w:rPr>
          <w:rFonts w:hint="default" w:ascii="Times New Roman" w:hAnsi="Times New Roman" w:eastAsia="黑体" w:cs="Times New Roman"/>
          <w:b w:val="0"/>
          <w:bCs/>
          <w:strike w:val="0"/>
          <w:dstrike w:val="0"/>
          <w:color w:val="auto"/>
          <w:kern w:val="2"/>
          <w:sz w:val="32"/>
          <w:szCs w:val="32"/>
          <w:lang w:val="en-US" w:eastAsia="zh-CN" w:bidi="ar-SA"/>
        </w:rPr>
        <w:t>四、强化金融保险支持</w:t>
      </w:r>
      <w:bookmarkEnd w:id="91"/>
      <w:bookmarkEnd w:id="92"/>
    </w:p>
    <w:p w14:paraId="2DDF887F">
      <w:pPr>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Style w:val="19"/>
          <w:rFonts w:hint="default" w:ascii="Times New Roman" w:hAnsi="Times New Roman" w:eastAsia="仿宋" w:cs="Times New Roman"/>
          <w:bCs/>
          <w:strike w:val="0"/>
          <w:dstrike w:val="0"/>
          <w:color w:val="auto"/>
          <w:szCs w:val="32"/>
          <w:highlight w:val="none"/>
          <w:u w:val="none"/>
          <w:lang w:val="en-US" w:eastAsia="zh-CN"/>
        </w:rPr>
      </w:pPr>
      <w:r>
        <w:rPr>
          <w:rFonts w:hint="default" w:ascii="Times New Roman" w:hAnsi="Times New Roman" w:eastAsia="仿宋_GB2312" w:cs="Times New Roman"/>
          <w:color w:val="auto"/>
          <w:highlight w:val="none"/>
          <w:lang w:val="en-US" w:eastAsia="zh-CN"/>
        </w:rPr>
        <w:t>强化金融保险支持，构建“政银保担”联动机制，开发特色金融产品，完善风险分担体系。支持金融机构开发“蛋鸡贷”等专项金融产品，扩大土地经营权、养殖场地上附着物等抵（质）押担保范围，推广活体抵押贷款、养殖场设施（或地上附着物）抵押贷款，充分保障畜牧业融资需求。推动生猪养殖政策性保险“愿保尽保”，大力推广生猪价格保险，提高保险覆盖面。引导保险公司优化保险条款，简化理赔程序和手续，提高理赔效率。</w:t>
      </w:r>
    </w:p>
    <w:p w14:paraId="3492F375">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93" w:name="_Toc22843"/>
      <w:bookmarkStart w:id="94" w:name="_Toc6147"/>
      <w:r>
        <w:rPr>
          <w:rFonts w:hint="default" w:ascii="Times New Roman" w:hAnsi="Times New Roman" w:eastAsia="黑体" w:cs="Times New Roman"/>
          <w:b w:val="0"/>
          <w:bCs/>
          <w:strike w:val="0"/>
          <w:dstrike w:val="0"/>
          <w:color w:val="auto"/>
          <w:kern w:val="2"/>
          <w:sz w:val="32"/>
          <w:szCs w:val="32"/>
          <w:lang w:val="en-US" w:eastAsia="zh-CN" w:bidi="ar-SA"/>
        </w:rPr>
        <w:t>五、强化部门协作</w:t>
      </w:r>
      <w:bookmarkEnd w:id="93"/>
      <w:bookmarkEnd w:id="94"/>
    </w:p>
    <w:p w14:paraId="672F8D1C">
      <w:pPr>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环保部门要做好环评审批服务，对符合政策条件的畜牧培育项目提前介入、加强指导，依法依规加快环评审批，推动项目快速落地。经信部门要大力支持畜牧有关加工业的发展，突破性提升产能产量，为万亿产业实现多做贡献。农业农村、自然资源部门要协同推进养殖场设施确权登记措施落实，提高办理效率，增强养殖场权益保护能力。商务部门要大力开展夹江畜禽产品推介活动，推动特色产品走向全国、走向世界。旅游部门要因地制宜开发畜牧旅游资源，加强蛋鸡和研学旅游结合，推动畜牧业有关旅游业增值。</w:t>
      </w:r>
    </w:p>
    <w:p w14:paraId="5C704304">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95" w:name="_Toc9248"/>
      <w:bookmarkStart w:id="96" w:name="_Toc30395"/>
      <w:r>
        <w:rPr>
          <w:rFonts w:hint="default" w:ascii="Times New Roman" w:hAnsi="Times New Roman" w:eastAsia="黑体" w:cs="Times New Roman"/>
          <w:b w:val="0"/>
          <w:bCs/>
          <w:strike w:val="0"/>
          <w:dstrike w:val="0"/>
          <w:color w:val="auto"/>
          <w:kern w:val="2"/>
          <w:sz w:val="32"/>
          <w:szCs w:val="32"/>
          <w:lang w:val="en-US" w:eastAsia="zh-CN" w:bidi="ar-SA"/>
        </w:rPr>
        <w:t>六、强化人才队伍建设</w:t>
      </w:r>
      <w:bookmarkEnd w:id="95"/>
      <w:bookmarkEnd w:id="96"/>
    </w:p>
    <w:p w14:paraId="178F37A3">
      <w:pPr>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实施高素质养殖技术人员培育工程，完善校企联合培养机制，提升从业人员素质。依托高等院校、农民职业培训机构等资源开展线上线下培训，重点面向高素质养殖技术人员、家庭农场经营者、合作社带头人、人工授精员、防疫员、经纪人等开展定向委托培养。创新畜牧兽医人员职称评价机制，突出业绩水平和实际贡献，向服务基层一线人才倾斜。继续开展基层农技推广人才定向培养，充实畜牧兽医基层专业人才力量。</w:t>
      </w:r>
    </w:p>
    <w:p w14:paraId="45F21F78">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600" w:lineRule="exact"/>
        <w:ind w:firstLine="640" w:firstLineChars="200"/>
        <w:jc w:val="both"/>
        <w:textAlignment w:val="auto"/>
        <w:rPr>
          <w:rFonts w:hint="default" w:ascii="Times New Roman" w:hAnsi="Times New Roman" w:eastAsia="黑体" w:cs="Times New Roman"/>
          <w:b w:val="0"/>
          <w:bCs/>
          <w:strike w:val="0"/>
          <w:dstrike w:val="0"/>
          <w:color w:val="auto"/>
          <w:kern w:val="2"/>
          <w:sz w:val="32"/>
          <w:szCs w:val="32"/>
          <w:lang w:val="en-US" w:eastAsia="zh-CN" w:bidi="ar-SA"/>
        </w:rPr>
      </w:pPr>
      <w:bookmarkStart w:id="97" w:name="_Toc25047"/>
      <w:bookmarkStart w:id="98" w:name="_Toc7253"/>
      <w:r>
        <w:rPr>
          <w:rFonts w:hint="default" w:ascii="Times New Roman" w:hAnsi="Times New Roman" w:eastAsia="黑体" w:cs="Times New Roman"/>
          <w:b w:val="0"/>
          <w:bCs/>
          <w:strike w:val="0"/>
          <w:dstrike w:val="0"/>
          <w:color w:val="auto"/>
          <w:kern w:val="2"/>
          <w:sz w:val="32"/>
          <w:szCs w:val="32"/>
          <w:lang w:val="en-US" w:eastAsia="zh-CN" w:bidi="ar-SA"/>
        </w:rPr>
        <w:t>七、强化科技支撑</w:t>
      </w:r>
      <w:bookmarkEnd w:id="97"/>
      <w:bookmarkEnd w:id="98"/>
    </w:p>
    <w:p w14:paraId="3CF4BF72">
      <w:pPr>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围绕蛋鸡良种繁育、现代畜牧养殖、精深加工、疫病防控等</w:t>
      </w:r>
      <w:r>
        <w:rPr>
          <w:rFonts w:hint="eastAsia" w:ascii="Times New Roman" w:hAnsi="Times New Roman" w:cs="Times New Roman"/>
          <w:color w:val="auto"/>
          <w:highlight w:val="none"/>
          <w:lang w:val="en-US" w:eastAsia="zh-CN"/>
        </w:rPr>
        <w:t>重点</w:t>
      </w:r>
      <w:r>
        <w:rPr>
          <w:rFonts w:hint="default" w:ascii="Times New Roman" w:hAnsi="Times New Roman" w:eastAsia="仿宋_GB2312" w:cs="Times New Roman"/>
          <w:color w:val="auto"/>
          <w:highlight w:val="none"/>
          <w:lang w:val="en-US" w:eastAsia="zh-CN"/>
        </w:rPr>
        <w:t>环节，鼓励支持相关企业与科研院所产学研合作，组织实施攻关项目，对关键共性技术开展攻关。开展畜禽精准化高效养殖及育种技术研究与示范推广，大力开展“畜牧科技进万家”活动。探索开展“科技特派员（团）+企业+基地+合作社”等服务模式，促进科技成果转化。</w:t>
      </w:r>
    </w:p>
    <w:p w14:paraId="462262B5">
      <w:pPr>
        <w:rPr>
          <w:rStyle w:val="19"/>
          <w:rFonts w:hint="default" w:ascii="Times New Roman" w:hAnsi="Times New Roman" w:eastAsia="黑体" w:cs="Times New Roman"/>
          <w:b w:val="0"/>
          <w:bCs w:val="0"/>
          <w:color w:val="auto"/>
          <w:szCs w:val="32"/>
          <w:highlight w:val="none"/>
          <w:u w:val="none"/>
          <w:lang w:val="en-US" w:eastAsia="zh-CN"/>
        </w:rPr>
      </w:pPr>
      <w:bookmarkStart w:id="99" w:name="_Toc11959"/>
      <w:r>
        <w:rPr>
          <w:rStyle w:val="19"/>
          <w:rFonts w:hint="default" w:ascii="Times New Roman" w:hAnsi="Times New Roman" w:eastAsia="黑体" w:cs="Times New Roman"/>
          <w:b w:val="0"/>
          <w:bCs w:val="0"/>
          <w:color w:val="auto"/>
          <w:szCs w:val="32"/>
          <w:highlight w:val="none"/>
          <w:u w:val="none"/>
          <w:lang w:val="en-US" w:eastAsia="zh-CN"/>
        </w:rPr>
        <w:br w:type="page"/>
      </w:r>
    </w:p>
    <w:p w14:paraId="2AF5E3E5">
      <w:pPr>
        <w:pStyle w:val="3"/>
        <w:pageBreakBefore w:val="0"/>
        <w:widowControl w:val="0"/>
        <w:kinsoku/>
        <w:wordWrap/>
        <w:overflowPunct/>
        <w:topLinePunct w:val="0"/>
        <w:autoSpaceDE/>
        <w:autoSpaceDN/>
        <w:bidi w:val="0"/>
        <w:adjustRightInd w:val="0"/>
        <w:snapToGrid w:val="0"/>
        <w:spacing w:before="0" w:beforeLines="0" w:after="0" w:afterLines="0" w:line="600" w:lineRule="exact"/>
        <w:ind w:left="1600" w:leftChars="200" w:hanging="960" w:hangingChars="300"/>
        <w:jc w:val="both"/>
        <w:textAlignment w:val="auto"/>
        <w:rPr>
          <w:rFonts w:hint="default" w:ascii="Times New Roman" w:hAnsi="Times New Roman" w:eastAsia="仿宋" w:cs="Times New Roman"/>
          <w:color w:val="auto"/>
          <w:sz w:val="32"/>
          <w:szCs w:val="32"/>
          <w:highlight w:val="none"/>
          <w:lang w:val="en-US" w:eastAsia="zh-CN"/>
        </w:rPr>
      </w:pPr>
      <w:bookmarkStart w:id="100" w:name="_Toc10156"/>
      <w:r>
        <w:rPr>
          <w:rStyle w:val="19"/>
          <w:rFonts w:hint="default" w:ascii="Times New Roman" w:hAnsi="Times New Roman" w:eastAsia="黑体" w:cs="Times New Roman"/>
          <w:b w:val="0"/>
          <w:bCs w:val="0"/>
          <w:color w:val="auto"/>
          <w:szCs w:val="32"/>
          <w:highlight w:val="none"/>
          <w:u w:val="none"/>
          <w:lang w:val="en-US" w:eastAsia="zh-CN"/>
        </w:rPr>
        <w:t>附件</w:t>
      </w:r>
      <w:bookmarkEnd w:id="99"/>
      <w:bookmarkEnd w:id="100"/>
      <w:r>
        <w:rPr>
          <w:rStyle w:val="19"/>
          <w:rFonts w:hint="default" w:ascii="Times New Roman" w:hAnsi="Times New Roman" w:cs="Times New Roman"/>
          <w:b w:val="0"/>
          <w:bCs w:val="0"/>
          <w:color w:val="auto"/>
          <w:szCs w:val="32"/>
          <w:highlight w:val="none"/>
          <w:u w:val="none"/>
          <w:lang w:val="en-US" w:eastAsia="zh-CN"/>
        </w:rPr>
        <w:t>：</w:t>
      </w:r>
      <w:r>
        <w:rPr>
          <w:rFonts w:hint="default" w:ascii="Times New Roman" w:hAnsi="Times New Roman" w:eastAsia="仿宋" w:cs="Times New Roman"/>
          <w:color w:val="auto"/>
          <w:sz w:val="32"/>
          <w:szCs w:val="32"/>
          <w:highlight w:val="none"/>
          <w:lang w:val="en-US" w:eastAsia="zh-CN"/>
        </w:rPr>
        <w:t>附表1夹江县“十五五”畜牧业高质量发展重点项目规划表</w:t>
      </w:r>
    </w:p>
    <w:p w14:paraId="0167FB5C">
      <w:pPr>
        <w:pageBreakBefore w:val="0"/>
        <w:widowControl w:val="0"/>
        <w:numPr>
          <w:ilvl w:val="0"/>
          <w:numId w:val="0"/>
        </w:numPr>
        <w:kinsoku/>
        <w:wordWrap/>
        <w:overflowPunct/>
        <w:topLinePunct w:val="0"/>
        <w:autoSpaceDE/>
        <w:autoSpaceDN/>
        <w:bidi w:val="0"/>
        <w:adjustRightInd w:val="0"/>
        <w:snapToGrid w:val="0"/>
        <w:spacing w:line="600" w:lineRule="exact"/>
        <w:ind w:left="0" w:leftChars="0" w:firstLine="1600" w:firstLineChars="500"/>
        <w:jc w:val="both"/>
        <w:textAlignment w:val="auto"/>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附图1夹江县畜禽养殖禁养区限养区分布图</w:t>
      </w:r>
    </w:p>
    <w:p w14:paraId="33A161AF">
      <w:pPr>
        <w:pageBreakBefore w:val="0"/>
        <w:widowControl w:val="0"/>
        <w:numPr>
          <w:ilvl w:val="0"/>
          <w:numId w:val="0"/>
        </w:numPr>
        <w:kinsoku/>
        <w:wordWrap/>
        <w:overflowPunct/>
        <w:topLinePunct w:val="0"/>
        <w:autoSpaceDE/>
        <w:autoSpaceDN/>
        <w:bidi w:val="0"/>
        <w:adjustRightInd w:val="0"/>
        <w:snapToGrid w:val="0"/>
        <w:spacing w:line="600" w:lineRule="exact"/>
        <w:ind w:left="0" w:leftChars="0" w:firstLine="1600" w:firstLineChars="500"/>
        <w:jc w:val="both"/>
        <w:textAlignment w:val="auto"/>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附图2夹江县畜禽产业生产力布局图</w:t>
      </w:r>
    </w:p>
    <w:p w14:paraId="5A1354C0">
      <w:pPr>
        <w:pageBreakBefore w:val="0"/>
        <w:widowControl w:val="0"/>
        <w:numPr>
          <w:ilvl w:val="0"/>
          <w:numId w:val="0"/>
        </w:numPr>
        <w:kinsoku/>
        <w:wordWrap/>
        <w:overflowPunct/>
        <w:topLinePunct w:val="0"/>
        <w:autoSpaceDE/>
        <w:autoSpaceDN/>
        <w:bidi w:val="0"/>
        <w:adjustRightInd w:val="0"/>
        <w:snapToGrid w:val="0"/>
        <w:spacing w:line="600" w:lineRule="exact"/>
        <w:ind w:left="0" w:leftChars="0" w:firstLine="1600" w:firstLineChars="500"/>
        <w:jc w:val="both"/>
        <w:textAlignment w:val="auto"/>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val="en-US" w:eastAsia="zh-CN"/>
        </w:rPr>
        <w:t>附图3夹江县蛋鸡产业生产力布局图</w:t>
      </w:r>
    </w:p>
    <w:p w14:paraId="0AEFCCBE">
      <w:pPr>
        <w:pStyle w:val="6"/>
        <w:pageBreakBefore w:val="0"/>
        <w:widowControl w:val="0"/>
        <w:kinsoku/>
        <w:wordWrap/>
        <w:overflowPunct/>
        <w:topLinePunct w:val="0"/>
        <w:autoSpaceDE/>
        <w:autoSpaceDN/>
        <w:bidi w:val="0"/>
        <w:adjustRightInd w:val="0"/>
        <w:snapToGrid w:val="0"/>
        <w:spacing w:line="60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sectPr>
          <w:footerReference r:id="rId5" w:type="default"/>
          <w:pgSz w:w="11906" w:h="16838"/>
          <w:pgMar w:top="2098" w:right="1474" w:bottom="1984" w:left="1587" w:header="851" w:footer="992" w:gutter="0"/>
          <w:pgNumType w:fmt="decimal" w:start="1"/>
          <w:cols w:space="0" w:num="1"/>
          <w:rtlGutter w:val="0"/>
          <w:docGrid w:type="lines" w:linePitch="312" w:charSpace="0"/>
        </w:sectPr>
      </w:pPr>
    </w:p>
    <w:p w14:paraId="4E06A9AE">
      <w:pPr>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附表1：夹江县“十五五”畜牧业高质量发展重点项目规划表（2026—2030年）</w:t>
      </w:r>
    </w:p>
    <w:tbl>
      <w:tblPr>
        <w:tblStyle w:val="14"/>
        <w:tblpPr w:leftFromText="180" w:rightFromText="180" w:vertAnchor="text" w:horzAnchor="page" w:tblpX="949" w:tblpY="483"/>
        <w:tblOverlap w:val="never"/>
        <w:tblW w:w="146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6"/>
        <w:gridCol w:w="1345"/>
        <w:gridCol w:w="2063"/>
        <w:gridCol w:w="1143"/>
        <w:gridCol w:w="5307"/>
        <w:gridCol w:w="862"/>
        <w:gridCol w:w="1075"/>
        <w:gridCol w:w="1531"/>
        <w:gridCol w:w="910"/>
      </w:tblGrid>
      <w:tr w14:paraId="323D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blHeader/>
        </w:trPr>
        <w:tc>
          <w:tcPr>
            <w:tcW w:w="426" w:type="dxa"/>
            <w:vMerge w:val="restart"/>
            <w:shd w:val="clear" w:color="auto" w:fill="auto"/>
            <w:vAlign w:val="center"/>
          </w:tcPr>
          <w:p w14:paraId="00B36CE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序号</w:t>
            </w:r>
          </w:p>
        </w:tc>
        <w:tc>
          <w:tcPr>
            <w:tcW w:w="1345" w:type="dxa"/>
            <w:vMerge w:val="restart"/>
            <w:shd w:val="clear" w:color="auto" w:fill="auto"/>
            <w:vAlign w:val="center"/>
          </w:tcPr>
          <w:p w14:paraId="56F187B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项目类型</w:t>
            </w:r>
          </w:p>
        </w:tc>
        <w:tc>
          <w:tcPr>
            <w:tcW w:w="2063" w:type="dxa"/>
            <w:vMerge w:val="restart"/>
            <w:shd w:val="clear" w:color="auto" w:fill="auto"/>
            <w:vAlign w:val="center"/>
          </w:tcPr>
          <w:p w14:paraId="18B3445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项目名称</w:t>
            </w:r>
          </w:p>
        </w:tc>
        <w:tc>
          <w:tcPr>
            <w:tcW w:w="1143" w:type="dxa"/>
            <w:vMerge w:val="restart"/>
            <w:shd w:val="clear" w:color="auto" w:fill="auto"/>
            <w:vAlign w:val="center"/>
          </w:tcPr>
          <w:p w14:paraId="3349132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建设地点</w:t>
            </w:r>
          </w:p>
        </w:tc>
        <w:tc>
          <w:tcPr>
            <w:tcW w:w="5307" w:type="dxa"/>
            <w:vMerge w:val="restart"/>
            <w:shd w:val="clear" w:color="auto" w:fill="auto"/>
            <w:vAlign w:val="center"/>
          </w:tcPr>
          <w:p w14:paraId="355B030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主要建设内容</w:t>
            </w:r>
          </w:p>
        </w:tc>
        <w:tc>
          <w:tcPr>
            <w:tcW w:w="862" w:type="dxa"/>
            <w:vMerge w:val="restart"/>
            <w:shd w:val="clear" w:color="auto" w:fill="auto"/>
            <w:vAlign w:val="center"/>
          </w:tcPr>
          <w:p w14:paraId="7BED0F5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建设属性</w:t>
            </w:r>
          </w:p>
        </w:tc>
        <w:tc>
          <w:tcPr>
            <w:tcW w:w="1075" w:type="dxa"/>
            <w:vMerge w:val="restart"/>
            <w:shd w:val="clear" w:color="auto" w:fill="auto"/>
            <w:vAlign w:val="center"/>
          </w:tcPr>
          <w:p w14:paraId="748272B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建设主体</w:t>
            </w:r>
          </w:p>
        </w:tc>
        <w:tc>
          <w:tcPr>
            <w:tcW w:w="1531" w:type="dxa"/>
            <w:vMerge w:val="restart"/>
            <w:shd w:val="clear" w:color="auto" w:fill="auto"/>
            <w:vAlign w:val="center"/>
          </w:tcPr>
          <w:p w14:paraId="79980D6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建设周期</w:t>
            </w:r>
          </w:p>
        </w:tc>
        <w:tc>
          <w:tcPr>
            <w:tcW w:w="910" w:type="dxa"/>
            <w:vMerge w:val="restart"/>
            <w:shd w:val="clear" w:color="auto" w:fill="auto"/>
            <w:vAlign w:val="center"/>
          </w:tcPr>
          <w:p w14:paraId="0E986F8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总投资（万元）</w:t>
            </w:r>
          </w:p>
        </w:tc>
      </w:tr>
      <w:tr w14:paraId="209F5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trPr>
        <w:tc>
          <w:tcPr>
            <w:tcW w:w="426" w:type="dxa"/>
            <w:vMerge w:val="continue"/>
            <w:shd w:val="clear" w:color="auto" w:fill="auto"/>
            <w:vAlign w:val="center"/>
          </w:tcPr>
          <w:p w14:paraId="636AFE1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1345" w:type="dxa"/>
            <w:vMerge w:val="continue"/>
            <w:shd w:val="clear" w:color="auto" w:fill="auto"/>
            <w:vAlign w:val="center"/>
          </w:tcPr>
          <w:p w14:paraId="63654CB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2063" w:type="dxa"/>
            <w:vMerge w:val="continue"/>
            <w:shd w:val="clear" w:color="auto" w:fill="auto"/>
            <w:vAlign w:val="center"/>
          </w:tcPr>
          <w:p w14:paraId="533C53D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1143" w:type="dxa"/>
            <w:vMerge w:val="continue"/>
            <w:shd w:val="clear" w:color="auto" w:fill="auto"/>
            <w:vAlign w:val="center"/>
          </w:tcPr>
          <w:p w14:paraId="794B27E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5307" w:type="dxa"/>
            <w:vMerge w:val="continue"/>
            <w:shd w:val="clear" w:color="auto" w:fill="auto"/>
            <w:vAlign w:val="center"/>
          </w:tcPr>
          <w:p w14:paraId="7065BF2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rPr>
                <w:rFonts w:hint="default" w:ascii="Times New Roman" w:hAnsi="Times New Roman" w:eastAsia="仿宋" w:cs="Times New Roman"/>
                <w:i w:val="0"/>
                <w:iCs w:val="0"/>
                <w:color w:val="auto"/>
                <w:sz w:val="21"/>
                <w:szCs w:val="21"/>
                <w:highlight w:val="none"/>
                <w:u w:val="none"/>
              </w:rPr>
            </w:pPr>
          </w:p>
        </w:tc>
        <w:tc>
          <w:tcPr>
            <w:tcW w:w="862" w:type="dxa"/>
            <w:vMerge w:val="continue"/>
            <w:shd w:val="clear" w:color="auto" w:fill="auto"/>
            <w:vAlign w:val="center"/>
          </w:tcPr>
          <w:p w14:paraId="0804BEA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1075" w:type="dxa"/>
            <w:vMerge w:val="continue"/>
            <w:shd w:val="clear" w:color="auto" w:fill="auto"/>
            <w:vAlign w:val="center"/>
          </w:tcPr>
          <w:p w14:paraId="4D03192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1531" w:type="dxa"/>
            <w:vMerge w:val="continue"/>
            <w:shd w:val="clear" w:color="auto" w:fill="auto"/>
            <w:vAlign w:val="center"/>
          </w:tcPr>
          <w:p w14:paraId="664CE78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910" w:type="dxa"/>
            <w:vMerge w:val="continue"/>
            <w:shd w:val="clear" w:color="auto" w:fill="auto"/>
            <w:vAlign w:val="center"/>
          </w:tcPr>
          <w:p w14:paraId="750D137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r>
      <w:tr w14:paraId="40E9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834" w:type="dxa"/>
            <w:gridSpan w:val="3"/>
            <w:shd w:val="clear" w:color="auto" w:fill="auto"/>
            <w:vAlign w:val="center"/>
          </w:tcPr>
          <w:p w14:paraId="011A474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合计</w:t>
            </w:r>
          </w:p>
        </w:tc>
        <w:tc>
          <w:tcPr>
            <w:tcW w:w="1143" w:type="dxa"/>
            <w:shd w:val="clear" w:color="auto" w:fill="auto"/>
            <w:vAlign w:val="center"/>
          </w:tcPr>
          <w:p w14:paraId="35FF764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5307" w:type="dxa"/>
            <w:shd w:val="clear" w:color="auto" w:fill="auto"/>
            <w:vAlign w:val="center"/>
          </w:tcPr>
          <w:p w14:paraId="6C69F6D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rPr>
                <w:rFonts w:hint="default" w:ascii="Times New Roman" w:hAnsi="Times New Roman" w:eastAsia="仿宋" w:cs="Times New Roman"/>
                <w:i w:val="0"/>
                <w:iCs w:val="0"/>
                <w:color w:val="auto"/>
                <w:sz w:val="21"/>
                <w:szCs w:val="21"/>
                <w:highlight w:val="none"/>
                <w:u w:val="none"/>
              </w:rPr>
            </w:pPr>
          </w:p>
        </w:tc>
        <w:tc>
          <w:tcPr>
            <w:tcW w:w="862" w:type="dxa"/>
            <w:shd w:val="clear" w:color="auto" w:fill="auto"/>
            <w:vAlign w:val="center"/>
          </w:tcPr>
          <w:p w14:paraId="4FAEEE2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1075" w:type="dxa"/>
            <w:shd w:val="clear" w:color="auto" w:fill="auto"/>
            <w:vAlign w:val="center"/>
          </w:tcPr>
          <w:p w14:paraId="25F8CC8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1531" w:type="dxa"/>
            <w:shd w:val="clear" w:color="auto" w:fill="auto"/>
            <w:vAlign w:val="center"/>
          </w:tcPr>
          <w:p w14:paraId="5DF1AFF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910" w:type="dxa"/>
            <w:shd w:val="clear" w:color="auto" w:fill="auto"/>
            <w:vAlign w:val="center"/>
          </w:tcPr>
          <w:p w14:paraId="2DAE534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lang w:val="en-US"/>
              </w:rPr>
            </w:pPr>
            <w:r>
              <w:rPr>
                <w:rFonts w:hint="default" w:ascii="Times New Roman" w:hAnsi="Times New Roman" w:cs="Times New Roman"/>
                <w:i w:val="0"/>
                <w:iCs w:val="0"/>
                <w:color w:val="auto"/>
                <w:kern w:val="0"/>
                <w:sz w:val="21"/>
                <w:szCs w:val="21"/>
                <w:highlight w:val="none"/>
                <w:u w:val="none"/>
                <w:lang w:val="en-US" w:eastAsia="zh-CN" w:bidi="ar"/>
              </w:rPr>
              <w:t>136894</w:t>
            </w:r>
          </w:p>
        </w:tc>
      </w:tr>
      <w:tr w14:paraId="07F5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426" w:type="dxa"/>
            <w:shd w:val="clear" w:color="auto" w:fill="auto"/>
            <w:vAlign w:val="center"/>
          </w:tcPr>
          <w:p w14:paraId="4064696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1</w:t>
            </w:r>
          </w:p>
        </w:tc>
        <w:tc>
          <w:tcPr>
            <w:tcW w:w="1345" w:type="dxa"/>
            <w:shd w:val="clear" w:color="auto" w:fill="auto"/>
            <w:vAlign w:val="center"/>
          </w:tcPr>
          <w:p w14:paraId="6EF8B5E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现代种业提升工程</w:t>
            </w:r>
          </w:p>
        </w:tc>
        <w:tc>
          <w:tcPr>
            <w:tcW w:w="2063" w:type="dxa"/>
            <w:shd w:val="clear" w:color="auto" w:fill="auto"/>
            <w:vAlign w:val="center"/>
          </w:tcPr>
          <w:p w14:paraId="26C90A3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蛋鸡育种创新基地建设项目</w:t>
            </w:r>
          </w:p>
        </w:tc>
        <w:tc>
          <w:tcPr>
            <w:tcW w:w="1143" w:type="dxa"/>
            <w:shd w:val="clear" w:color="auto" w:fill="auto"/>
            <w:vAlign w:val="center"/>
          </w:tcPr>
          <w:p w14:paraId="6DBD041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新场镇</w:t>
            </w:r>
          </w:p>
        </w:tc>
        <w:tc>
          <w:tcPr>
            <w:tcW w:w="5307" w:type="dxa"/>
            <w:shd w:val="clear" w:color="auto" w:fill="auto"/>
            <w:vAlign w:val="center"/>
          </w:tcPr>
          <w:p w14:paraId="78147FF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新建蛋种鸡育种基地1个，配套13万只蛋鸡笼位与现代化智能育种养殖设备1套，涵盖智能化饲喂、环控、饮水、集蛋系统。建设1200㎡叶黄素功能蛋鸡舍1栋，完善管理用房、实验室、蛋库等设施，以及蛋鸡育种性能测定设备。</w:t>
            </w:r>
          </w:p>
        </w:tc>
        <w:tc>
          <w:tcPr>
            <w:tcW w:w="862" w:type="dxa"/>
            <w:shd w:val="clear" w:color="auto" w:fill="auto"/>
            <w:vAlign w:val="center"/>
          </w:tcPr>
          <w:p w14:paraId="7A86E78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新建</w:t>
            </w:r>
          </w:p>
        </w:tc>
        <w:tc>
          <w:tcPr>
            <w:tcW w:w="1075" w:type="dxa"/>
            <w:shd w:val="clear" w:color="auto" w:fill="auto"/>
            <w:vAlign w:val="center"/>
          </w:tcPr>
          <w:p w14:paraId="43146D0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四川省禹嘉种禽有限公司</w:t>
            </w:r>
          </w:p>
        </w:tc>
        <w:tc>
          <w:tcPr>
            <w:tcW w:w="1531" w:type="dxa"/>
            <w:shd w:val="clear" w:color="auto" w:fill="auto"/>
            <w:vAlign w:val="center"/>
          </w:tcPr>
          <w:p w14:paraId="5FBED6B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2027</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2028年</w:t>
            </w:r>
          </w:p>
        </w:tc>
        <w:tc>
          <w:tcPr>
            <w:tcW w:w="910" w:type="dxa"/>
            <w:shd w:val="clear" w:color="auto" w:fill="auto"/>
            <w:vAlign w:val="center"/>
          </w:tcPr>
          <w:p w14:paraId="0E39E12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1000</w:t>
            </w:r>
          </w:p>
        </w:tc>
      </w:tr>
      <w:tr w14:paraId="09229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834" w:type="dxa"/>
            <w:gridSpan w:val="3"/>
            <w:shd w:val="clear" w:color="auto" w:fill="auto"/>
            <w:vAlign w:val="center"/>
          </w:tcPr>
          <w:p w14:paraId="2ABB47C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小计</w:t>
            </w:r>
          </w:p>
        </w:tc>
        <w:tc>
          <w:tcPr>
            <w:tcW w:w="1143" w:type="dxa"/>
            <w:shd w:val="clear" w:color="auto" w:fill="auto"/>
            <w:vAlign w:val="center"/>
          </w:tcPr>
          <w:p w14:paraId="560FF1F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5307" w:type="dxa"/>
            <w:shd w:val="clear" w:color="auto" w:fill="auto"/>
            <w:vAlign w:val="center"/>
          </w:tcPr>
          <w:p w14:paraId="7A7A93B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rPr>
                <w:rFonts w:hint="default" w:ascii="Times New Roman" w:hAnsi="Times New Roman" w:eastAsia="仿宋" w:cs="Times New Roman"/>
                <w:i w:val="0"/>
                <w:iCs w:val="0"/>
                <w:color w:val="auto"/>
                <w:sz w:val="21"/>
                <w:szCs w:val="21"/>
                <w:highlight w:val="none"/>
                <w:u w:val="none"/>
              </w:rPr>
            </w:pPr>
          </w:p>
        </w:tc>
        <w:tc>
          <w:tcPr>
            <w:tcW w:w="862" w:type="dxa"/>
            <w:shd w:val="clear" w:color="auto" w:fill="auto"/>
            <w:vAlign w:val="center"/>
          </w:tcPr>
          <w:p w14:paraId="39D501A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1075" w:type="dxa"/>
            <w:shd w:val="clear" w:color="auto" w:fill="auto"/>
            <w:vAlign w:val="center"/>
          </w:tcPr>
          <w:p w14:paraId="71793B0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1531" w:type="dxa"/>
            <w:shd w:val="clear" w:color="auto" w:fill="auto"/>
            <w:vAlign w:val="center"/>
          </w:tcPr>
          <w:p w14:paraId="1C9F6AB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910" w:type="dxa"/>
            <w:shd w:val="clear" w:color="auto" w:fill="auto"/>
            <w:vAlign w:val="center"/>
          </w:tcPr>
          <w:p w14:paraId="45C2206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1000</w:t>
            </w:r>
          </w:p>
        </w:tc>
      </w:tr>
      <w:tr w14:paraId="74B0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426" w:type="dxa"/>
            <w:shd w:val="clear" w:color="auto" w:fill="auto"/>
            <w:vAlign w:val="center"/>
          </w:tcPr>
          <w:p w14:paraId="1DE1EA8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1345" w:type="dxa"/>
            <w:vMerge w:val="restart"/>
            <w:shd w:val="clear" w:color="auto" w:fill="auto"/>
            <w:vAlign w:val="center"/>
          </w:tcPr>
          <w:p w14:paraId="7D95E85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现代化养殖基地</w:t>
            </w:r>
            <w:r>
              <w:rPr>
                <w:rFonts w:hint="default" w:ascii="Times New Roman" w:hAnsi="Times New Roman" w:cs="Times New Roman"/>
                <w:i w:val="0"/>
                <w:iCs w:val="0"/>
                <w:color w:val="auto"/>
                <w:kern w:val="0"/>
                <w:sz w:val="21"/>
                <w:szCs w:val="21"/>
                <w:highlight w:val="none"/>
                <w:u w:val="none"/>
                <w:lang w:val="en-US" w:eastAsia="zh-CN" w:bidi="ar"/>
              </w:rPr>
              <w:t>建设</w:t>
            </w:r>
            <w:r>
              <w:rPr>
                <w:rFonts w:hint="default" w:ascii="Times New Roman" w:hAnsi="Times New Roman" w:eastAsia="仿宋" w:cs="Times New Roman"/>
                <w:i w:val="0"/>
                <w:iCs w:val="0"/>
                <w:color w:val="auto"/>
                <w:kern w:val="0"/>
                <w:sz w:val="21"/>
                <w:szCs w:val="21"/>
                <w:highlight w:val="none"/>
                <w:u w:val="none"/>
                <w:lang w:val="en-US" w:eastAsia="zh-CN" w:bidi="ar"/>
              </w:rPr>
              <w:t>工程</w:t>
            </w:r>
          </w:p>
        </w:tc>
        <w:tc>
          <w:tcPr>
            <w:tcW w:w="2063" w:type="dxa"/>
            <w:shd w:val="clear" w:color="auto" w:fill="auto"/>
            <w:vAlign w:val="center"/>
          </w:tcPr>
          <w:p w14:paraId="569D129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生猪规模养殖场建设项目</w:t>
            </w:r>
          </w:p>
        </w:tc>
        <w:tc>
          <w:tcPr>
            <w:tcW w:w="1143" w:type="dxa"/>
            <w:shd w:val="clear" w:color="auto" w:fill="auto"/>
            <w:vAlign w:val="center"/>
          </w:tcPr>
          <w:p w14:paraId="1B2127A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default" w:ascii="Times New Roman" w:hAnsi="Times New Roman" w:eastAsia="仿宋" w:cs="Times New Roman"/>
                <w:i w:val="0"/>
                <w:iCs w:val="0"/>
                <w:color w:val="auto"/>
                <w:kern w:val="0"/>
                <w:sz w:val="21"/>
                <w:szCs w:val="21"/>
                <w:highlight w:val="none"/>
                <w:u w:val="none"/>
                <w:lang w:val="en-US" w:eastAsia="zh-CN" w:bidi="ar"/>
              </w:rPr>
              <w:t>吴场镇、新场镇</w:t>
            </w:r>
            <w:r>
              <w:rPr>
                <w:rFonts w:hint="default" w:ascii="Times New Roman" w:hAnsi="Times New Roman" w:cs="Times New Roman"/>
                <w:i w:val="0"/>
                <w:iCs w:val="0"/>
                <w:color w:val="auto"/>
                <w:kern w:val="0"/>
                <w:sz w:val="21"/>
                <w:szCs w:val="21"/>
                <w:highlight w:val="none"/>
                <w:u w:val="none"/>
                <w:lang w:val="en-US" w:eastAsia="zh-CN" w:bidi="ar"/>
              </w:rPr>
              <w:t>等</w:t>
            </w:r>
          </w:p>
        </w:tc>
        <w:tc>
          <w:tcPr>
            <w:tcW w:w="5307" w:type="dxa"/>
            <w:shd w:val="clear" w:color="auto" w:fill="auto"/>
            <w:vAlign w:val="center"/>
          </w:tcPr>
          <w:p w14:paraId="09CDB26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default" w:ascii="Times New Roman" w:hAnsi="Times New Roman" w:eastAsia="仿宋" w:cs="Times New Roman"/>
                <w:i w:val="0"/>
                <w:iCs w:val="0"/>
                <w:color w:val="auto"/>
                <w:kern w:val="0"/>
                <w:sz w:val="21"/>
                <w:szCs w:val="21"/>
                <w:highlight w:val="none"/>
                <w:u w:val="none"/>
                <w:lang w:val="en-US" w:eastAsia="zh-CN" w:bidi="ar"/>
              </w:rPr>
              <w:t>建设存栏8500头种猪场1个</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新建年出栏5000头育肥场1个，提升改造生猪育肥场5个。</w:t>
            </w:r>
          </w:p>
        </w:tc>
        <w:tc>
          <w:tcPr>
            <w:tcW w:w="862" w:type="dxa"/>
            <w:shd w:val="clear" w:color="auto" w:fill="auto"/>
            <w:vAlign w:val="center"/>
          </w:tcPr>
          <w:p w14:paraId="54FBE7C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新建</w:t>
            </w:r>
          </w:p>
        </w:tc>
        <w:tc>
          <w:tcPr>
            <w:tcW w:w="1075" w:type="dxa"/>
            <w:shd w:val="clear" w:color="auto" w:fill="auto"/>
            <w:vAlign w:val="center"/>
          </w:tcPr>
          <w:p w14:paraId="12805FD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default" w:ascii="Times New Roman" w:hAnsi="Times New Roman" w:eastAsia="仿宋" w:cs="Times New Roman"/>
                <w:i w:val="0"/>
                <w:iCs w:val="0"/>
                <w:color w:val="auto"/>
                <w:kern w:val="0"/>
                <w:sz w:val="21"/>
                <w:szCs w:val="21"/>
                <w:highlight w:val="none"/>
                <w:u w:val="none"/>
                <w:lang w:val="en-US" w:eastAsia="zh-CN" w:bidi="ar"/>
              </w:rPr>
              <w:t>规模</w:t>
            </w:r>
            <w:r>
              <w:rPr>
                <w:rFonts w:hint="default" w:ascii="Times New Roman" w:hAnsi="Times New Roman" w:cs="Times New Roman"/>
                <w:i w:val="0"/>
                <w:iCs w:val="0"/>
                <w:color w:val="auto"/>
                <w:kern w:val="0"/>
                <w:sz w:val="21"/>
                <w:szCs w:val="21"/>
                <w:highlight w:val="none"/>
                <w:u w:val="none"/>
                <w:lang w:val="en-US" w:eastAsia="zh-CN" w:bidi="ar"/>
              </w:rPr>
              <w:t>畜禽</w:t>
            </w:r>
            <w:r>
              <w:rPr>
                <w:rFonts w:hint="default" w:ascii="Times New Roman" w:hAnsi="Times New Roman" w:eastAsia="仿宋" w:cs="Times New Roman"/>
                <w:i w:val="0"/>
                <w:iCs w:val="0"/>
                <w:color w:val="auto"/>
                <w:kern w:val="0"/>
                <w:sz w:val="21"/>
                <w:szCs w:val="21"/>
                <w:highlight w:val="none"/>
                <w:u w:val="none"/>
                <w:lang w:val="en-US" w:eastAsia="zh-CN" w:bidi="ar"/>
              </w:rPr>
              <w:t>养殖场户</w:t>
            </w:r>
          </w:p>
        </w:tc>
        <w:tc>
          <w:tcPr>
            <w:tcW w:w="1531" w:type="dxa"/>
            <w:shd w:val="clear" w:color="auto" w:fill="auto"/>
            <w:vAlign w:val="center"/>
          </w:tcPr>
          <w:p w14:paraId="4F0C1B6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default" w:ascii="Times New Roman" w:hAnsi="Times New Roman" w:eastAsia="仿宋" w:cs="Times New Roman"/>
                <w:i w:val="0"/>
                <w:iCs w:val="0"/>
                <w:color w:val="auto"/>
                <w:kern w:val="0"/>
                <w:sz w:val="21"/>
                <w:szCs w:val="21"/>
                <w:highlight w:val="none"/>
                <w:u w:val="none"/>
                <w:lang w:val="en-US" w:eastAsia="zh-CN" w:bidi="ar"/>
              </w:rPr>
              <w:t>202</w:t>
            </w:r>
            <w:r>
              <w:rPr>
                <w:rFonts w:hint="default" w:ascii="Times New Roman" w:hAnsi="Times New Roman" w:cs="Times New Roman"/>
                <w:i w:val="0"/>
                <w:iCs w:val="0"/>
                <w:color w:val="auto"/>
                <w:kern w:val="0"/>
                <w:sz w:val="21"/>
                <w:szCs w:val="21"/>
                <w:highlight w:val="none"/>
                <w:u w:val="none"/>
                <w:lang w:val="en-US" w:eastAsia="zh-CN" w:bidi="ar"/>
              </w:rPr>
              <w:t>6—</w:t>
            </w:r>
            <w:r>
              <w:rPr>
                <w:rFonts w:hint="default" w:ascii="Times New Roman" w:hAnsi="Times New Roman" w:eastAsia="仿宋" w:cs="Times New Roman"/>
                <w:i w:val="0"/>
                <w:iCs w:val="0"/>
                <w:color w:val="auto"/>
                <w:kern w:val="0"/>
                <w:sz w:val="21"/>
                <w:szCs w:val="21"/>
                <w:highlight w:val="none"/>
                <w:u w:val="none"/>
                <w:lang w:val="en-US" w:eastAsia="zh-CN" w:bidi="ar"/>
              </w:rPr>
              <w:t>2030年</w:t>
            </w:r>
          </w:p>
        </w:tc>
        <w:tc>
          <w:tcPr>
            <w:tcW w:w="910" w:type="dxa"/>
            <w:shd w:val="clear" w:color="auto" w:fill="auto"/>
            <w:vAlign w:val="center"/>
          </w:tcPr>
          <w:p w14:paraId="4393F44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20000</w:t>
            </w:r>
          </w:p>
        </w:tc>
      </w:tr>
      <w:tr w14:paraId="2D13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26" w:type="dxa"/>
            <w:shd w:val="clear" w:color="auto" w:fill="auto"/>
            <w:vAlign w:val="center"/>
          </w:tcPr>
          <w:p w14:paraId="6606627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3</w:t>
            </w:r>
          </w:p>
        </w:tc>
        <w:tc>
          <w:tcPr>
            <w:tcW w:w="1345" w:type="dxa"/>
            <w:vMerge w:val="continue"/>
            <w:shd w:val="clear" w:color="auto" w:fill="auto"/>
            <w:vAlign w:val="center"/>
          </w:tcPr>
          <w:p w14:paraId="5301377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p>
        </w:tc>
        <w:tc>
          <w:tcPr>
            <w:tcW w:w="2063" w:type="dxa"/>
            <w:shd w:val="clear" w:color="auto" w:fill="auto"/>
            <w:vAlign w:val="center"/>
          </w:tcPr>
          <w:p w14:paraId="6AA8019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夹江县宏森现代化蛋鸡养殖建设项目</w:t>
            </w:r>
          </w:p>
        </w:tc>
        <w:tc>
          <w:tcPr>
            <w:tcW w:w="1143" w:type="dxa"/>
            <w:shd w:val="clear" w:color="auto" w:fill="auto"/>
            <w:vAlign w:val="center"/>
          </w:tcPr>
          <w:p w14:paraId="00427D0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吴场镇</w:t>
            </w:r>
          </w:p>
        </w:tc>
        <w:tc>
          <w:tcPr>
            <w:tcW w:w="5307" w:type="dxa"/>
            <w:shd w:val="clear" w:color="auto" w:fill="auto"/>
            <w:vAlign w:val="center"/>
          </w:tcPr>
          <w:p w14:paraId="15D19B1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扩建12万只规模蛋鸡舍。新建1600㎡现代化蛋鸡舍1栋，蛋鸡笼位12万只，配套相关的养殖设施设备；建设园区监控室、化验实验室；饲料加工车间，存料库房及饲料制作设备、鸡粪资源化利用设备1套。配套自动喂料系统1套，智能环控系统1套，自动清粪系统1套，智能照明系统1套，智能饮水系统1套，自动集蛋系统1套。</w:t>
            </w:r>
          </w:p>
        </w:tc>
        <w:tc>
          <w:tcPr>
            <w:tcW w:w="862" w:type="dxa"/>
            <w:shd w:val="clear" w:color="auto" w:fill="auto"/>
            <w:vAlign w:val="center"/>
          </w:tcPr>
          <w:p w14:paraId="4290FC4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扩建</w:t>
            </w:r>
          </w:p>
        </w:tc>
        <w:tc>
          <w:tcPr>
            <w:tcW w:w="1075" w:type="dxa"/>
            <w:shd w:val="clear" w:color="auto" w:fill="auto"/>
            <w:vAlign w:val="center"/>
          </w:tcPr>
          <w:p w14:paraId="25C72E9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夹江县宏森蛋鸡养殖有限责任公司</w:t>
            </w:r>
          </w:p>
        </w:tc>
        <w:tc>
          <w:tcPr>
            <w:tcW w:w="1531" w:type="dxa"/>
            <w:shd w:val="clear" w:color="auto" w:fill="auto"/>
            <w:vAlign w:val="center"/>
          </w:tcPr>
          <w:p w14:paraId="41C484E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2027</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2028年</w:t>
            </w:r>
          </w:p>
        </w:tc>
        <w:tc>
          <w:tcPr>
            <w:tcW w:w="910" w:type="dxa"/>
            <w:shd w:val="clear" w:color="auto" w:fill="auto"/>
            <w:vAlign w:val="center"/>
          </w:tcPr>
          <w:p w14:paraId="7BFFF80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1030</w:t>
            </w:r>
          </w:p>
        </w:tc>
      </w:tr>
      <w:tr w14:paraId="4577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26" w:type="dxa"/>
            <w:shd w:val="clear" w:color="auto" w:fill="auto"/>
            <w:vAlign w:val="center"/>
          </w:tcPr>
          <w:p w14:paraId="5C51A9A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4</w:t>
            </w:r>
          </w:p>
        </w:tc>
        <w:tc>
          <w:tcPr>
            <w:tcW w:w="1345" w:type="dxa"/>
            <w:vMerge w:val="continue"/>
            <w:shd w:val="clear" w:color="auto" w:fill="auto"/>
            <w:vAlign w:val="center"/>
          </w:tcPr>
          <w:p w14:paraId="4F79EB2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2063" w:type="dxa"/>
            <w:shd w:val="clear" w:color="auto" w:fill="auto"/>
            <w:vAlign w:val="center"/>
          </w:tcPr>
          <w:p w14:paraId="60CC371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夹江县亚庆农牧现代化蛋鸡养殖建设项目</w:t>
            </w:r>
          </w:p>
        </w:tc>
        <w:tc>
          <w:tcPr>
            <w:tcW w:w="1143" w:type="dxa"/>
            <w:shd w:val="clear" w:color="auto" w:fill="auto"/>
            <w:vAlign w:val="center"/>
          </w:tcPr>
          <w:p w14:paraId="26F70D0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吴场镇</w:t>
            </w:r>
          </w:p>
        </w:tc>
        <w:tc>
          <w:tcPr>
            <w:tcW w:w="5307" w:type="dxa"/>
            <w:shd w:val="clear" w:color="auto" w:fill="auto"/>
            <w:vAlign w:val="center"/>
          </w:tcPr>
          <w:p w14:paraId="1EC4077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扩建36万只规模蛋鸡舍。新建蛋鸡舍3栋面积5800㎡，配套蛋鸡笼位36万只，建设蛋库1个，鸡粪资源化利用设备1套，智能化监控系统1套，管理用房及配套附属设施等。配套自动喂料系统3套、智能环控系统3套、智能饮水系统3套、自动集蛋系统3套、自动清粪系统3套，购置自动分拣、消毒等设备。</w:t>
            </w:r>
          </w:p>
        </w:tc>
        <w:tc>
          <w:tcPr>
            <w:tcW w:w="862" w:type="dxa"/>
            <w:shd w:val="clear" w:color="auto" w:fill="auto"/>
            <w:vAlign w:val="center"/>
          </w:tcPr>
          <w:p w14:paraId="25FCFBB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扩建</w:t>
            </w:r>
          </w:p>
        </w:tc>
        <w:tc>
          <w:tcPr>
            <w:tcW w:w="1075" w:type="dxa"/>
            <w:shd w:val="clear" w:color="auto" w:fill="auto"/>
            <w:vAlign w:val="center"/>
          </w:tcPr>
          <w:p w14:paraId="50087C8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乐山市亚庆农牧科技有限责任公司</w:t>
            </w:r>
          </w:p>
        </w:tc>
        <w:tc>
          <w:tcPr>
            <w:tcW w:w="1531" w:type="dxa"/>
            <w:shd w:val="clear" w:color="auto" w:fill="auto"/>
            <w:vAlign w:val="center"/>
          </w:tcPr>
          <w:p w14:paraId="672A79A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2027</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2028年</w:t>
            </w:r>
          </w:p>
        </w:tc>
        <w:tc>
          <w:tcPr>
            <w:tcW w:w="910" w:type="dxa"/>
            <w:shd w:val="clear" w:color="auto" w:fill="auto"/>
            <w:vAlign w:val="center"/>
          </w:tcPr>
          <w:p w14:paraId="31EE6F2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2500</w:t>
            </w:r>
          </w:p>
        </w:tc>
      </w:tr>
      <w:tr w14:paraId="404B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trPr>
        <w:tc>
          <w:tcPr>
            <w:tcW w:w="426" w:type="dxa"/>
            <w:shd w:val="clear" w:color="auto" w:fill="auto"/>
            <w:vAlign w:val="center"/>
          </w:tcPr>
          <w:p w14:paraId="577384F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5</w:t>
            </w:r>
          </w:p>
        </w:tc>
        <w:tc>
          <w:tcPr>
            <w:tcW w:w="1345" w:type="dxa"/>
            <w:vMerge w:val="continue"/>
            <w:shd w:val="clear" w:color="auto" w:fill="auto"/>
            <w:vAlign w:val="center"/>
          </w:tcPr>
          <w:p w14:paraId="64E7836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2063" w:type="dxa"/>
            <w:shd w:val="clear" w:color="auto" w:fill="auto"/>
            <w:vAlign w:val="center"/>
          </w:tcPr>
          <w:p w14:paraId="64CC2D0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夹江县鼎盛农业现代化蛋鸡养殖建设项目</w:t>
            </w:r>
          </w:p>
        </w:tc>
        <w:tc>
          <w:tcPr>
            <w:tcW w:w="1143" w:type="dxa"/>
            <w:shd w:val="clear" w:color="auto" w:fill="auto"/>
            <w:vAlign w:val="center"/>
          </w:tcPr>
          <w:p w14:paraId="7A5FB75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新场镇</w:t>
            </w:r>
          </w:p>
        </w:tc>
        <w:tc>
          <w:tcPr>
            <w:tcW w:w="5307" w:type="dxa"/>
            <w:shd w:val="clear" w:color="auto" w:fill="auto"/>
            <w:vAlign w:val="center"/>
          </w:tcPr>
          <w:p w14:paraId="354B06B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新建现代化蛋鸡舍8栋，面积12800㎡，蛋鸡笼位100万只，配套相关的养殖设施设备；建设管理用房、化验实验室；建设饲料加工车间，配套存料库房、饲料加工等设备，发电机2组，输电线路1套，变压器2套（800KV），鸡粪资源化利用设备1套。配套自动喂料系统6套，智能环控系统8套，自动清粪系统8套，智能照明系统8套，智能饮水系统8套，自动集蛋系统8套。</w:t>
            </w:r>
          </w:p>
        </w:tc>
        <w:tc>
          <w:tcPr>
            <w:tcW w:w="862" w:type="dxa"/>
            <w:shd w:val="clear" w:color="auto" w:fill="auto"/>
            <w:vAlign w:val="center"/>
          </w:tcPr>
          <w:p w14:paraId="3E388B5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新建</w:t>
            </w:r>
          </w:p>
        </w:tc>
        <w:tc>
          <w:tcPr>
            <w:tcW w:w="1075" w:type="dxa"/>
            <w:shd w:val="clear" w:color="auto" w:fill="auto"/>
            <w:vAlign w:val="center"/>
          </w:tcPr>
          <w:p w14:paraId="442A8DE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夹江县鼎盛农业有限公司</w:t>
            </w:r>
          </w:p>
        </w:tc>
        <w:tc>
          <w:tcPr>
            <w:tcW w:w="1531" w:type="dxa"/>
            <w:shd w:val="clear" w:color="auto" w:fill="auto"/>
            <w:vAlign w:val="center"/>
          </w:tcPr>
          <w:p w14:paraId="45CAA2D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2027</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2028年</w:t>
            </w:r>
          </w:p>
        </w:tc>
        <w:tc>
          <w:tcPr>
            <w:tcW w:w="910" w:type="dxa"/>
            <w:shd w:val="clear" w:color="auto" w:fill="auto"/>
            <w:vAlign w:val="center"/>
          </w:tcPr>
          <w:p w14:paraId="3E71B4A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8000</w:t>
            </w:r>
          </w:p>
        </w:tc>
      </w:tr>
      <w:tr w14:paraId="4801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0" w:hRule="atLeast"/>
        </w:trPr>
        <w:tc>
          <w:tcPr>
            <w:tcW w:w="426" w:type="dxa"/>
            <w:shd w:val="clear" w:color="auto" w:fill="auto"/>
            <w:vAlign w:val="center"/>
          </w:tcPr>
          <w:p w14:paraId="20073FA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6</w:t>
            </w:r>
          </w:p>
        </w:tc>
        <w:tc>
          <w:tcPr>
            <w:tcW w:w="1345" w:type="dxa"/>
            <w:vMerge w:val="continue"/>
            <w:shd w:val="clear" w:color="auto" w:fill="auto"/>
            <w:vAlign w:val="center"/>
          </w:tcPr>
          <w:p w14:paraId="0E7DEFA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2063" w:type="dxa"/>
            <w:shd w:val="clear" w:color="auto" w:fill="auto"/>
            <w:vAlign w:val="center"/>
          </w:tcPr>
          <w:p w14:paraId="380AAB9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夹江县厚全现代化蛋鸡养殖建设项目</w:t>
            </w:r>
          </w:p>
        </w:tc>
        <w:tc>
          <w:tcPr>
            <w:tcW w:w="1143" w:type="dxa"/>
            <w:shd w:val="clear" w:color="auto" w:fill="auto"/>
            <w:vAlign w:val="center"/>
          </w:tcPr>
          <w:p w14:paraId="727D29E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吴场镇</w:t>
            </w:r>
          </w:p>
        </w:tc>
        <w:tc>
          <w:tcPr>
            <w:tcW w:w="5307" w:type="dxa"/>
            <w:shd w:val="clear" w:color="auto" w:fill="auto"/>
            <w:vAlign w:val="center"/>
          </w:tcPr>
          <w:p w14:paraId="7339A27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新建150万只规模现代化蛋鸡养殖基地。建设全智能自动化蛋鸡舍8栋，建筑面积17000㎡，蛋鸡笼位150万只，配套相关的养殖设施设备，建设管理用房、蛋库及附属设施，数字化管理系统1套，监控设备1套，应急备用电力设施1套，用水和饮水设施1套；电力、管网、防疫等设施，配套环保设备（含除臭）1套。配套自动喂料系统8套，智能环控系统8套，自动清粪系统8套，智能照明系统8套，智能饮水系统8套，自动集蛋系统8套。</w:t>
            </w:r>
          </w:p>
        </w:tc>
        <w:tc>
          <w:tcPr>
            <w:tcW w:w="862" w:type="dxa"/>
            <w:shd w:val="clear" w:color="auto" w:fill="auto"/>
            <w:vAlign w:val="center"/>
          </w:tcPr>
          <w:p w14:paraId="4AFB868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新建</w:t>
            </w:r>
          </w:p>
        </w:tc>
        <w:tc>
          <w:tcPr>
            <w:tcW w:w="1075" w:type="dxa"/>
            <w:shd w:val="clear" w:color="auto" w:fill="auto"/>
            <w:vAlign w:val="center"/>
          </w:tcPr>
          <w:p w14:paraId="270657A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四川厚全生态食品有限公司</w:t>
            </w:r>
          </w:p>
        </w:tc>
        <w:tc>
          <w:tcPr>
            <w:tcW w:w="1531" w:type="dxa"/>
            <w:shd w:val="clear" w:color="auto" w:fill="auto"/>
            <w:vAlign w:val="center"/>
          </w:tcPr>
          <w:p w14:paraId="65EFEFB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2025</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2026年</w:t>
            </w:r>
          </w:p>
        </w:tc>
        <w:tc>
          <w:tcPr>
            <w:tcW w:w="910" w:type="dxa"/>
            <w:shd w:val="clear" w:color="auto" w:fill="auto"/>
            <w:vAlign w:val="center"/>
          </w:tcPr>
          <w:p w14:paraId="74E8C2C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14800</w:t>
            </w:r>
          </w:p>
        </w:tc>
      </w:tr>
      <w:tr w14:paraId="34F1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5" w:hRule="atLeast"/>
        </w:trPr>
        <w:tc>
          <w:tcPr>
            <w:tcW w:w="426" w:type="dxa"/>
            <w:shd w:val="clear" w:color="auto" w:fill="auto"/>
            <w:vAlign w:val="center"/>
          </w:tcPr>
          <w:p w14:paraId="28DBBEE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7</w:t>
            </w:r>
          </w:p>
        </w:tc>
        <w:tc>
          <w:tcPr>
            <w:tcW w:w="1345" w:type="dxa"/>
            <w:vMerge w:val="continue"/>
            <w:shd w:val="clear" w:color="auto" w:fill="auto"/>
            <w:vAlign w:val="center"/>
          </w:tcPr>
          <w:p w14:paraId="38CA036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2063" w:type="dxa"/>
            <w:shd w:val="clear" w:color="auto" w:fill="auto"/>
            <w:vAlign w:val="center"/>
          </w:tcPr>
          <w:p w14:paraId="3485D47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夹江县升鸡沟现代化蛋鸡养殖建设项目</w:t>
            </w:r>
          </w:p>
        </w:tc>
        <w:tc>
          <w:tcPr>
            <w:tcW w:w="1143" w:type="dxa"/>
            <w:shd w:val="clear" w:color="auto" w:fill="auto"/>
            <w:vAlign w:val="center"/>
          </w:tcPr>
          <w:p w14:paraId="5A298B7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木城镇</w:t>
            </w:r>
          </w:p>
        </w:tc>
        <w:tc>
          <w:tcPr>
            <w:tcW w:w="5307" w:type="dxa"/>
            <w:shd w:val="clear" w:color="auto" w:fill="auto"/>
            <w:vAlign w:val="center"/>
          </w:tcPr>
          <w:p w14:paraId="7A49EBC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扩建54万只规模蛋鸡舍。建设全智能自动化蛋鸡舍4栋，建筑面积6800㎡，蛋鸡笼位54万只，配套相关的养殖设施设备，建设管理用房及附属设施。配套环保设备（含除臭）1套，数字化管理系统1套，监控设备1套，应急备用电力设施1套，用水和饮水设施1套；电力、管网、防疫等设施。配套自动喂料系统4套，智能环控系统4套，自动清粪系统4套，智能照明系统4套，智能饮水系统4套，自动集蛋系统4套。</w:t>
            </w:r>
          </w:p>
        </w:tc>
        <w:tc>
          <w:tcPr>
            <w:tcW w:w="862" w:type="dxa"/>
            <w:shd w:val="clear" w:color="auto" w:fill="auto"/>
            <w:vAlign w:val="center"/>
          </w:tcPr>
          <w:p w14:paraId="538AD98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扩建</w:t>
            </w:r>
          </w:p>
        </w:tc>
        <w:tc>
          <w:tcPr>
            <w:tcW w:w="1075" w:type="dxa"/>
            <w:shd w:val="clear" w:color="auto" w:fill="auto"/>
            <w:vAlign w:val="center"/>
          </w:tcPr>
          <w:p w14:paraId="16880BD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四川升鸡沟禽业有限公司</w:t>
            </w:r>
          </w:p>
        </w:tc>
        <w:tc>
          <w:tcPr>
            <w:tcW w:w="1531" w:type="dxa"/>
            <w:shd w:val="clear" w:color="auto" w:fill="auto"/>
            <w:vAlign w:val="center"/>
          </w:tcPr>
          <w:p w14:paraId="311D8EA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2025</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2026年</w:t>
            </w:r>
          </w:p>
        </w:tc>
        <w:tc>
          <w:tcPr>
            <w:tcW w:w="910" w:type="dxa"/>
            <w:shd w:val="clear" w:color="auto" w:fill="auto"/>
            <w:vAlign w:val="center"/>
          </w:tcPr>
          <w:p w14:paraId="6339AC5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4000</w:t>
            </w:r>
          </w:p>
        </w:tc>
      </w:tr>
      <w:tr w14:paraId="5C85F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trPr>
        <w:tc>
          <w:tcPr>
            <w:tcW w:w="426" w:type="dxa"/>
            <w:shd w:val="clear" w:color="auto" w:fill="auto"/>
            <w:vAlign w:val="center"/>
          </w:tcPr>
          <w:p w14:paraId="029F6DA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8</w:t>
            </w:r>
          </w:p>
        </w:tc>
        <w:tc>
          <w:tcPr>
            <w:tcW w:w="1345" w:type="dxa"/>
            <w:vMerge w:val="continue"/>
            <w:shd w:val="clear" w:color="auto" w:fill="auto"/>
            <w:vAlign w:val="center"/>
          </w:tcPr>
          <w:p w14:paraId="0066465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2063" w:type="dxa"/>
            <w:shd w:val="clear" w:color="auto" w:fill="auto"/>
            <w:vAlign w:val="center"/>
          </w:tcPr>
          <w:p w14:paraId="35D68D5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夹江县厚坤农牧现代化蛋鸡养殖建设项目</w:t>
            </w:r>
          </w:p>
        </w:tc>
        <w:tc>
          <w:tcPr>
            <w:tcW w:w="1143" w:type="dxa"/>
            <w:shd w:val="clear" w:color="auto" w:fill="auto"/>
            <w:vAlign w:val="center"/>
          </w:tcPr>
          <w:p w14:paraId="27F8883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黄土镇</w:t>
            </w:r>
          </w:p>
        </w:tc>
        <w:tc>
          <w:tcPr>
            <w:tcW w:w="5307" w:type="dxa"/>
            <w:shd w:val="clear" w:color="auto" w:fill="auto"/>
            <w:vAlign w:val="center"/>
          </w:tcPr>
          <w:p w14:paraId="408071A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扩建39万只规模蛋鸡舍。建设全智能自动化蛋鸡舍3栋，建筑面积5100㎡，蛋鸡笼位39万只，配套相关的养殖设施设备，建设管理用房及附属设施。配套环保设备（含除臭）1套，数字化管理系统1套，监控设备1套，应急备用电力设施1套；电力、管网、防疫等设施。配套自动喂料系统3套，智能环控系统3套，自动清粪系统3套，智能照明系统3套，智能饮水系统3套，自动集蛋系统3套。</w:t>
            </w:r>
          </w:p>
        </w:tc>
        <w:tc>
          <w:tcPr>
            <w:tcW w:w="862" w:type="dxa"/>
            <w:shd w:val="clear" w:color="auto" w:fill="auto"/>
            <w:vAlign w:val="center"/>
          </w:tcPr>
          <w:p w14:paraId="16B151A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扩建</w:t>
            </w:r>
          </w:p>
        </w:tc>
        <w:tc>
          <w:tcPr>
            <w:tcW w:w="1075" w:type="dxa"/>
            <w:shd w:val="clear" w:color="auto" w:fill="auto"/>
            <w:vAlign w:val="center"/>
          </w:tcPr>
          <w:p w14:paraId="00849BB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四川厚坤农牧科技有限公司</w:t>
            </w:r>
          </w:p>
        </w:tc>
        <w:tc>
          <w:tcPr>
            <w:tcW w:w="1531" w:type="dxa"/>
            <w:shd w:val="clear" w:color="auto" w:fill="auto"/>
            <w:vAlign w:val="center"/>
          </w:tcPr>
          <w:p w14:paraId="32D0E64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2025</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2026年</w:t>
            </w:r>
          </w:p>
        </w:tc>
        <w:tc>
          <w:tcPr>
            <w:tcW w:w="910" w:type="dxa"/>
            <w:shd w:val="clear" w:color="auto" w:fill="auto"/>
            <w:vAlign w:val="center"/>
          </w:tcPr>
          <w:p w14:paraId="516D7C5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3000</w:t>
            </w:r>
          </w:p>
        </w:tc>
      </w:tr>
      <w:tr w14:paraId="2E77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1" w:hRule="atLeast"/>
        </w:trPr>
        <w:tc>
          <w:tcPr>
            <w:tcW w:w="426" w:type="dxa"/>
            <w:shd w:val="clear" w:color="auto" w:fill="auto"/>
            <w:vAlign w:val="center"/>
          </w:tcPr>
          <w:p w14:paraId="7CA4C79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9</w:t>
            </w:r>
          </w:p>
        </w:tc>
        <w:tc>
          <w:tcPr>
            <w:tcW w:w="1345" w:type="dxa"/>
            <w:vMerge w:val="continue"/>
            <w:shd w:val="clear" w:color="auto" w:fill="auto"/>
            <w:vAlign w:val="center"/>
          </w:tcPr>
          <w:p w14:paraId="2A59A75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2063" w:type="dxa"/>
            <w:shd w:val="clear" w:color="auto" w:fill="auto"/>
            <w:vAlign w:val="center"/>
          </w:tcPr>
          <w:p w14:paraId="6B725FF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夹江县建川现代化蛋鸡养殖建设项目</w:t>
            </w:r>
          </w:p>
        </w:tc>
        <w:tc>
          <w:tcPr>
            <w:tcW w:w="1143" w:type="dxa"/>
            <w:shd w:val="clear" w:color="auto" w:fill="auto"/>
            <w:vAlign w:val="center"/>
          </w:tcPr>
          <w:p w14:paraId="1593996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吴场镇</w:t>
            </w:r>
          </w:p>
        </w:tc>
        <w:tc>
          <w:tcPr>
            <w:tcW w:w="5307" w:type="dxa"/>
            <w:shd w:val="clear" w:color="auto" w:fill="auto"/>
            <w:vAlign w:val="center"/>
          </w:tcPr>
          <w:p w14:paraId="0F60BD4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新建100万只规模现代化蛋鸡场。建设现代化蛋鸡舍6栋，建筑面积12000㎡，配套蛋鸡笼位100万只、24个料塔及自动输送系统、环保设备</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含除臭</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1套、数字化管理系统1套、监控系统1套、应急备用电力设施1套、电力、管网、防疫等设施设备，建设管理用房及附属设施。配套全自动化智能养殖设备6套</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包含自动喂料系统、智能环控系统、自动清粪系统、智能照明系统、智能饮水系统</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，自动集蛋、分拣、包装系统6套。</w:t>
            </w:r>
          </w:p>
        </w:tc>
        <w:tc>
          <w:tcPr>
            <w:tcW w:w="862" w:type="dxa"/>
            <w:shd w:val="clear" w:color="auto" w:fill="auto"/>
            <w:vAlign w:val="center"/>
          </w:tcPr>
          <w:p w14:paraId="53A72E9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新建</w:t>
            </w:r>
          </w:p>
        </w:tc>
        <w:tc>
          <w:tcPr>
            <w:tcW w:w="1075" w:type="dxa"/>
            <w:shd w:val="clear" w:color="auto" w:fill="auto"/>
            <w:vAlign w:val="center"/>
          </w:tcPr>
          <w:p w14:paraId="200D34B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乐山建川农业科技有限责任公司</w:t>
            </w:r>
          </w:p>
        </w:tc>
        <w:tc>
          <w:tcPr>
            <w:tcW w:w="1531" w:type="dxa"/>
            <w:shd w:val="clear" w:color="auto" w:fill="auto"/>
            <w:vAlign w:val="center"/>
          </w:tcPr>
          <w:p w14:paraId="51B316C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2027</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2028年</w:t>
            </w:r>
          </w:p>
        </w:tc>
        <w:tc>
          <w:tcPr>
            <w:tcW w:w="910" w:type="dxa"/>
            <w:shd w:val="clear" w:color="auto" w:fill="auto"/>
            <w:vAlign w:val="center"/>
          </w:tcPr>
          <w:p w14:paraId="3542D08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6000</w:t>
            </w:r>
          </w:p>
        </w:tc>
      </w:tr>
      <w:tr w14:paraId="040C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5" w:hRule="atLeast"/>
        </w:trPr>
        <w:tc>
          <w:tcPr>
            <w:tcW w:w="426" w:type="dxa"/>
            <w:shd w:val="clear" w:color="auto" w:fill="auto"/>
            <w:vAlign w:val="center"/>
          </w:tcPr>
          <w:p w14:paraId="3FE2C0E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lang w:val="en-US"/>
              </w:rPr>
            </w:pPr>
            <w:r>
              <w:rPr>
                <w:rFonts w:hint="default" w:ascii="Times New Roman" w:hAnsi="Times New Roman" w:cs="Times New Roman"/>
                <w:i w:val="0"/>
                <w:iCs w:val="0"/>
                <w:color w:val="auto"/>
                <w:kern w:val="0"/>
                <w:sz w:val="21"/>
                <w:szCs w:val="21"/>
                <w:highlight w:val="none"/>
                <w:u w:val="none"/>
                <w:lang w:val="en-US" w:eastAsia="zh-CN" w:bidi="ar"/>
              </w:rPr>
              <w:t>10</w:t>
            </w:r>
          </w:p>
        </w:tc>
        <w:tc>
          <w:tcPr>
            <w:tcW w:w="1345" w:type="dxa"/>
            <w:vMerge w:val="continue"/>
            <w:shd w:val="clear" w:color="auto" w:fill="auto"/>
            <w:vAlign w:val="center"/>
          </w:tcPr>
          <w:p w14:paraId="4672CEA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2063" w:type="dxa"/>
            <w:shd w:val="clear" w:color="auto" w:fill="auto"/>
            <w:vAlign w:val="center"/>
          </w:tcPr>
          <w:p w14:paraId="0931080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夹江县宏运山现代化蛋鸡养殖建设项目</w:t>
            </w:r>
          </w:p>
        </w:tc>
        <w:tc>
          <w:tcPr>
            <w:tcW w:w="1143" w:type="dxa"/>
            <w:shd w:val="clear" w:color="auto" w:fill="auto"/>
            <w:vAlign w:val="center"/>
          </w:tcPr>
          <w:p w14:paraId="5EFA036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吴场镇</w:t>
            </w:r>
          </w:p>
        </w:tc>
        <w:tc>
          <w:tcPr>
            <w:tcW w:w="5307" w:type="dxa"/>
            <w:shd w:val="clear" w:color="auto" w:fill="auto"/>
            <w:vAlign w:val="center"/>
          </w:tcPr>
          <w:p w14:paraId="27A0D9D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新建26万只规模现代化蛋鸡场。新建蛋鸡舍2栋，面积3400㎡，蛋鸡笼位26万只</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配套饲料加工厂房、饲料输送系统、环保设施设备、数字化管理系统、防疫等其他设施设备。配套自动喂料系统2套</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智能环控系统2套，自动清粪系统2套，智能照明系统2套，智能饮水系统2套，自动集蛋系统2套。</w:t>
            </w:r>
          </w:p>
        </w:tc>
        <w:tc>
          <w:tcPr>
            <w:tcW w:w="862" w:type="dxa"/>
            <w:shd w:val="clear" w:color="auto" w:fill="auto"/>
            <w:vAlign w:val="center"/>
          </w:tcPr>
          <w:p w14:paraId="7AEFB51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新建</w:t>
            </w:r>
          </w:p>
        </w:tc>
        <w:tc>
          <w:tcPr>
            <w:tcW w:w="1075" w:type="dxa"/>
            <w:shd w:val="clear" w:color="auto" w:fill="auto"/>
            <w:vAlign w:val="center"/>
          </w:tcPr>
          <w:p w14:paraId="7B1781D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夹江县宏运山种养专业合作社</w:t>
            </w:r>
          </w:p>
        </w:tc>
        <w:tc>
          <w:tcPr>
            <w:tcW w:w="1531" w:type="dxa"/>
            <w:shd w:val="clear" w:color="auto" w:fill="auto"/>
            <w:vAlign w:val="center"/>
          </w:tcPr>
          <w:p w14:paraId="3A106A7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2027</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2028年</w:t>
            </w:r>
          </w:p>
        </w:tc>
        <w:tc>
          <w:tcPr>
            <w:tcW w:w="910" w:type="dxa"/>
            <w:shd w:val="clear" w:color="auto" w:fill="auto"/>
            <w:vAlign w:val="center"/>
          </w:tcPr>
          <w:p w14:paraId="3A373FB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1700</w:t>
            </w:r>
          </w:p>
        </w:tc>
      </w:tr>
      <w:tr w14:paraId="7F36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trPr>
        <w:tc>
          <w:tcPr>
            <w:tcW w:w="426" w:type="dxa"/>
            <w:shd w:val="clear" w:color="auto" w:fill="auto"/>
            <w:vAlign w:val="center"/>
          </w:tcPr>
          <w:p w14:paraId="688E0E7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1</w:t>
            </w:r>
            <w:r>
              <w:rPr>
                <w:rFonts w:hint="default" w:ascii="Times New Roman" w:hAnsi="Times New Roman" w:cs="Times New Roman"/>
                <w:i w:val="0"/>
                <w:iCs w:val="0"/>
                <w:color w:val="auto"/>
                <w:kern w:val="0"/>
                <w:sz w:val="21"/>
                <w:szCs w:val="21"/>
                <w:highlight w:val="none"/>
                <w:u w:val="none"/>
                <w:lang w:val="en-US" w:eastAsia="zh-CN" w:bidi="ar"/>
              </w:rPr>
              <w:t>1</w:t>
            </w:r>
          </w:p>
        </w:tc>
        <w:tc>
          <w:tcPr>
            <w:tcW w:w="1345" w:type="dxa"/>
            <w:vMerge w:val="continue"/>
            <w:shd w:val="clear" w:color="auto" w:fill="auto"/>
            <w:vAlign w:val="center"/>
          </w:tcPr>
          <w:p w14:paraId="0795924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2063" w:type="dxa"/>
            <w:shd w:val="clear" w:color="auto" w:fill="auto"/>
            <w:vAlign w:val="center"/>
          </w:tcPr>
          <w:p w14:paraId="682E103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夹江县兴牧源现代化蛋鸡养殖建设项目</w:t>
            </w:r>
          </w:p>
        </w:tc>
        <w:tc>
          <w:tcPr>
            <w:tcW w:w="1143" w:type="dxa"/>
            <w:shd w:val="clear" w:color="auto" w:fill="auto"/>
            <w:vAlign w:val="center"/>
          </w:tcPr>
          <w:p w14:paraId="757B6E2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马村镇</w:t>
            </w:r>
          </w:p>
        </w:tc>
        <w:tc>
          <w:tcPr>
            <w:tcW w:w="5307" w:type="dxa"/>
            <w:shd w:val="clear" w:color="auto" w:fill="auto"/>
            <w:vAlign w:val="center"/>
          </w:tcPr>
          <w:p w14:paraId="16485BD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新建120万只规模现代化蛋鸡场。建设标准化数字化自动化蛋鸡舍11栋</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含青年鸡舍2栋</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，共18700㎡，建设饲料加工厂房1栋，配套蛋鸡笼位124万只，智能鸡蛋分拣分级厂房1栋，22个料塔及饲料自动输送系统、环保设备</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含除臭</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1套、数字化管理系统1套、监控系统1套、应急备用电力设施1套、电力、管网、防疫、储存库房，建设管理用房及附属设施。配套自动喂料系统11套，智能环控系统11套</w:t>
            </w:r>
            <w:r>
              <w:rPr>
                <w:rFonts w:hint="default" w:ascii="Times New Roman" w:hAnsi="Times New Roman" w:cs="Times New Roman"/>
                <w:i w:val="0"/>
                <w:iCs w:val="0"/>
                <w:color w:val="auto"/>
                <w:kern w:val="0"/>
                <w:sz w:val="21"/>
                <w:szCs w:val="21"/>
                <w:highlight w:val="none"/>
                <w:u w:val="none"/>
                <w:lang w:val="en-US" w:eastAsia="zh-CN" w:bidi="ar"/>
              </w:rPr>
              <w:t>，项</w:t>
            </w:r>
            <w:r>
              <w:rPr>
                <w:rFonts w:hint="default" w:ascii="Times New Roman" w:hAnsi="Times New Roman" w:eastAsia="仿宋" w:cs="Times New Roman"/>
                <w:i w:val="0"/>
                <w:iCs w:val="0"/>
                <w:color w:val="auto"/>
                <w:kern w:val="0"/>
                <w:sz w:val="21"/>
                <w:szCs w:val="21"/>
                <w:highlight w:val="none"/>
                <w:u w:val="none"/>
                <w:lang w:val="en-US" w:eastAsia="zh-CN" w:bidi="ar"/>
              </w:rPr>
              <w:t>目自动清粪系统11套，智能照明系统11套，智能饮水系统11套，自动集蛋、分拣、包装系统11套。</w:t>
            </w:r>
          </w:p>
        </w:tc>
        <w:tc>
          <w:tcPr>
            <w:tcW w:w="862" w:type="dxa"/>
            <w:shd w:val="clear" w:color="auto" w:fill="auto"/>
            <w:vAlign w:val="center"/>
          </w:tcPr>
          <w:p w14:paraId="2115558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新建</w:t>
            </w:r>
          </w:p>
        </w:tc>
        <w:tc>
          <w:tcPr>
            <w:tcW w:w="1075" w:type="dxa"/>
            <w:shd w:val="clear" w:color="auto" w:fill="auto"/>
            <w:vAlign w:val="center"/>
          </w:tcPr>
          <w:p w14:paraId="0B3D973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乐山兴牧源农业发展有限公司</w:t>
            </w:r>
          </w:p>
        </w:tc>
        <w:tc>
          <w:tcPr>
            <w:tcW w:w="1531" w:type="dxa"/>
            <w:shd w:val="clear" w:color="auto" w:fill="auto"/>
            <w:vAlign w:val="center"/>
          </w:tcPr>
          <w:p w14:paraId="35FF99E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2027</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2028年</w:t>
            </w:r>
          </w:p>
        </w:tc>
        <w:tc>
          <w:tcPr>
            <w:tcW w:w="910" w:type="dxa"/>
            <w:shd w:val="clear" w:color="auto" w:fill="auto"/>
            <w:vAlign w:val="center"/>
          </w:tcPr>
          <w:p w14:paraId="35D4F71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9800</w:t>
            </w:r>
          </w:p>
        </w:tc>
      </w:tr>
      <w:tr w14:paraId="22FA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426" w:type="dxa"/>
            <w:shd w:val="clear" w:color="auto" w:fill="auto"/>
            <w:vAlign w:val="center"/>
          </w:tcPr>
          <w:p w14:paraId="4353A9C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1</w:t>
            </w:r>
            <w:r>
              <w:rPr>
                <w:rFonts w:hint="default" w:ascii="Times New Roman" w:hAnsi="Times New Roman" w:cs="Times New Roman"/>
                <w:i w:val="0"/>
                <w:iCs w:val="0"/>
                <w:color w:val="auto"/>
                <w:kern w:val="0"/>
                <w:sz w:val="21"/>
                <w:szCs w:val="21"/>
                <w:highlight w:val="none"/>
                <w:u w:val="none"/>
                <w:lang w:val="en-US" w:eastAsia="zh-CN" w:bidi="ar"/>
              </w:rPr>
              <w:t>2</w:t>
            </w:r>
          </w:p>
        </w:tc>
        <w:tc>
          <w:tcPr>
            <w:tcW w:w="1345" w:type="dxa"/>
            <w:vMerge w:val="continue"/>
            <w:shd w:val="clear" w:color="auto" w:fill="auto"/>
            <w:vAlign w:val="center"/>
          </w:tcPr>
          <w:p w14:paraId="0510F03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2063" w:type="dxa"/>
            <w:shd w:val="clear" w:color="auto" w:fill="auto"/>
            <w:vAlign w:val="center"/>
          </w:tcPr>
          <w:p w14:paraId="49D6972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夹江县厚全现代化青年鸡养殖建设项目</w:t>
            </w:r>
          </w:p>
        </w:tc>
        <w:tc>
          <w:tcPr>
            <w:tcW w:w="1143" w:type="dxa"/>
            <w:shd w:val="clear" w:color="auto" w:fill="auto"/>
            <w:vAlign w:val="center"/>
          </w:tcPr>
          <w:p w14:paraId="10EECEC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马村镇</w:t>
            </w:r>
          </w:p>
        </w:tc>
        <w:tc>
          <w:tcPr>
            <w:tcW w:w="5307" w:type="dxa"/>
            <w:shd w:val="clear" w:color="auto" w:fill="auto"/>
            <w:vAlign w:val="center"/>
          </w:tcPr>
          <w:p w14:paraId="77924FD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新建1000万只青年鸡规模现代化青年鸡场。修建现代化鸡舍12栋以及其他相关配套设施，建成后年出栏青年鸡1000万羽，为亚洲单体最大的青年鸡场。</w:t>
            </w:r>
          </w:p>
        </w:tc>
        <w:tc>
          <w:tcPr>
            <w:tcW w:w="862" w:type="dxa"/>
            <w:shd w:val="clear" w:color="auto" w:fill="auto"/>
            <w:vAlign w:val="center"/>
          </w:tcPr>
          <w:p w14:paraId="09C6C4A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新建</w:t>
            </w:r>
          </w:p>
        </w:tc>
        <w:tc>
          <w:tcPr>
            <w:tcW w:w="1075" w:type="dxa"/>
            <w:shd w:val="clear" w:color="auto" w:fill="auto"/>
            <w:vAlign w:val="center"/>
          </w:tcPr>
          <w:p w14:paraId="476FDBC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四川厚全生态食品有限公司</w:t>
            </w:r>
          </w:p>
        </w:tc>
        <w:tc>
          <w:tcPr>
            <w:tcW w:w="1531" w:type="dxa"/>
            <w:shd w:val="clear" w:color="auto" w:fill="auto"/>
            <w:vAlign w:val="center"/>
          </w:tcPr>
          <w:p w14:paraId="70430F1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2025</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2026年</w:t>
            </w:r>
          </w:p>
        </w:tc>
        <w:tc>
          <w:tcPr>
            <w:tcW w:w="910" w:type="dxa"/>
            <w:shd w:val="clear" w:color="auto" w:fill="auto"/>
            <w:vAlign w:val="center"/>
          </w:tcPr>
          <w:p w14:paraId="42A4AE6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30000</w:t>
            </w:r>
          </w:p>
        </w:tc>
      </w:tr>
      <w:tr w14:paraId="31E17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834" w:type="dxa"/>
            <w:gridSpan w:val="3"/>
            <w:shd w:val="clear" w:color="auto" w:fill="auto"/>
            <w:vAlign w:val="center"/>
          </w:tcPr>
          <w:p w14:paraId="09BEE2B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小计</w:t>
            </w:r>
          </w:p>
        </w:tc>
        <w:tc>
          <w:tcPr>
            <w:tcW w:w="1143" w:type="dxa"/>
            <w:shd w:val="clear" w:color="auto" w:fill="auto"/>
            <w:vAlign w:val="center"/>
          </w:tcPr>
          <w:p w14:paraId="73D3DC9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5307" w:type="dxa"/>
            <w:shd w:val="clear" w:color="auto" w:fill="auto"/>
            <w:vAlign w:val="center"/>
          </w:tcPr>
          <w:p w14:paraId="16B3059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rPr>
                <w:rFonts w:hint="default" w:ascii="Times New Roman" w:hAnsi="Times New Roman" w:eastAsia="仿宋" w:cs="Times New Roman"/>
                <w:i w:val="0"/>
                <w:iCs w:val="0"/>
                <w:color w:val="auto"/>
                <w:sz w:val="21"/>
                <w:szCs w:val="21"/>
                <w:highlight w:val="none"/>
                <w:u w:val="none"/>
              </w:rPr>
            </w:pPr>
          </w:p>
        </w:tc>
        <w:tc>
          <w:tcPr>
            <w:tcW w:w="862" w:type="dxa"/>
            <w:shd w:val="clear" w:color="auto" w:fill="auto"/>
            <w:vAlign w:val="center"/>
          </w:tcPr>
          <w:p w14:paraId="02A8F22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1075" w:type="dxa"/>
            <w:shd w:val="clear" w:color="auto" w:fill="auto"/>
            <w:vAlign w:val="center"/>
          </w:tcPr>
          <w:p w14:paraId="504BECF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1531" w:type="dxa"/>
            <w:shd w:val="clear" w:color="auto" w:fill="auto"/>
            <w:vAlign w:val="center"/>
          </w:tcPr>
          <w:p w14:paraId="6C8AA0F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910" w:type="dxa"/>
            <w:shd w:val="clear" w:color="auto" w:fill="auto"/>
            <w:vAlign w:val="center"/>
          </w:tcPr>
          <w:p w14:paraId="3819727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lang w:val="en-US"/>
              </w:rPr>
            </w:pPr>
            <w:r>
              <w:rPr>
                <w:rFonts w:hint="default" w:ascii="Times New Roman" w:hAnsi="Times New Roman" w:cs="Times New Roman"/>
                <w:i w:val="0"/>
                <w:iCs w:val="0"/>
                <w:color w:val="auto"/>
                <w:kern w:val="0"/>
                <w:sz w:val="21"/>
                <w:szCs w:val="21"/>
                <w:highlight w:val="none"/>
                <w:u w:val="none"/>
                <w:lang w:val="en-US" w:eastAsia="zh-CN" w:bidi="ar"/>
              </w:rPr>
              <w:t>100830</w:t>
            </w:r>
          </w:p>
        </w:tc>
      </w:tr>
      <w:tr w14:paraId="7D27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5" w:hRule="atLeast"/>
        </w:trPr>
        <w:tc>
          <w:tcPr>
            <w:tcW w:w="426" w:type="dxa"/>
            <w:shd w:val="clear" w:color="auto" w:fill="auto"/>
            <w:vAlign w:val="center"/>
          </w:tcPr>
          <w:p w14:paraId="3E38ED1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13</w:t>
            </w:r>
          </w:p>
        </w:tc>
        <w:tc>
          <w:tcPr>
            <w:tcW w:w="1345" w:type="dxa"/>
            <w:vMerge w:val="restart"/>
            <w:shd w:val="clear" w:color="auto" w:fill="auto"/>
            <w:vAlign w:val="center"/>
          </w:tcPr>
          <w:p w14:paraId="620BD15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精深加工能力提升工程</w:t>
            </w:r>
          </w:p>
        </w:tc>
        <w:tc>
          <w:tcPr>
            <w:tcW w:w="2063" w:type="dxa"/>
            <w:shd w:val="clear" w:color="auto" w:fill="auto"/>
            <w:vAlign w:val="center"/>
          </w:tcPr>
          <w:p w14:paraId="0BAB970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生猪屠宰能力提升项目</w:t>
            </w:r>
          </w:p>
        </w:tc>
        <w:tc>
          <w:tcPr>
            <w:tcW w:w="1143" w:type="dxa"/>
            <w:shd w:val="clear" w:color="auto" w:fill="auto"/>
            <w:vAlign w:val="center"/>
          </w:tcPr>
          <w:p w14:paraId="2E18681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Style w:val="22"/>
                <w:rFonts w:hint="default" w:ascii="Times New Roman" w:hAnsi="Times New Roman" w:eastAsia="仿宋" w:cs="Times New Roman"/>
                <w:color w:val="auto"/>
                <w:sz w:val="21"/>
                <w:szCs w:val="21"/>
                <w:highlight w:val="none"/>
                <w:lang w:val="en-US" w:eastAsia="zh-CN" w:bidi="ar"/>
              </w:rPr>
              <w:t>新场镇、吴场镇、甘江镇等</w:t>
            </w:r>
          </w:p>
        </w:tc>
        <w:tc>
          <w:tcPr>
            <w:tcW w:w="5307" w:type="dxa"/>
            <w:shd w:val="clear" w:color="auto" w:fill="auto"/>
            <w:vAlign w:val="center"/>
          </w:tcPr>
          <w:p w14:paraId="14B968C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Style w:val="22"/>
                <w:rFonts w:hint="default" w:ascii="Times New Roman" w:hAnsi="Times New Roman" w:eastAsia="仿宋" w:cs="Times New Roman"/>
                <w:color w:val="auto"/>
                <w:sz w:val="21"/>
                <w:szCs w:val="21"/>
                <w:highlight w:val="none"/>
                <w:lang w:val="en-US" w:eastAsia="zh-CN" w:bidi="ar"/>
              </w:rPr>
            </w:pPr>
            <w:r>
              <w:rPr>
                <w:rStyle w:val="22"/>
                <w:rFonts w:hint="default" w:ascii="Times New Roman" w:hAnsi="Times New Roman" w:eastAsia="仿宋" w:cs="Times New Roman"/>
                <w:color w:val="auto"/>
                <w:sz w:val="21"/>
                <w:szCs w:val="21"/>
                <w:highlight w:val="none"/>
                <w:lang w:val="en-US" w:eastAsia="zh-CN" w:bidi="ar"/>
              </w:rPr>
              <w:t>根据生猪屠宰质量管理规范，提升改造年屠宰6万头的企业1个，迁建年屠宰15万头企业1个。</w:t>
            </w:r>
          </w:p>
        </w:tc>
        <w:tc>
          <w:tcPr>
            <w:tcW w:w="862" w:type="dxa"/>
            <w:shd w:val="clear" w:color="auto" w:fill="auto"/>
            <w:vAlign w:val="center"/>
          </w:tcPr>
          <w:p w14:paraId="5B86EE4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新建</w:t>
            </w:r>
          </w:p>
        </w:tc>
        <w:tc>
          <w:tcPr>
            <w:tcW w:w="1075" w:type="dxa"/>
            <w:shd w:val="clear" w:color="auto" w:fill="auto"/>
            <w:vAlign w:val="center"/>
          </w:tcPr>
          <w:p w14:paraId="52855A0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县农业农村局、相关主体</w:t>
            </w:r>
          </w:p>
        </w:tc>
        <w:tc>
          <w:tcPr>
            <w:tcW w:w="1531" w:type="dxa"/>
            <w:shd w:val="clear" w:color="auto" w:fill="auto"/>
            <w:vAlign w:val="center"/>
          </w:tcPr>
          <w:p w14:paraId="43FF767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2026—2030年</w:t>
            </w:r>
          </w:p>
        </w:tc>
        <w:tc>
          <w:tcPr>
            <w:tcW w:w="910" w:type="dxa"/>
            <w:shd w:val="clear" w:color="auto" w:fill="auto"/>
            <w:vAlign w:val="center"/>
          </w:tcPr>
          <w:p w14:paraId="277C2F9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5000</w:t>
            </w:r>
          </w:p>
        </w:tc>
      </w:tr>
      <w:tr w14:paraId="3D3D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5" w:hRule="atLeast"/>
        </w:trPr>
        <w:tc>
          <w:tcPr>
            <w:tcW w:w="426" w:type="dxa"/>
            <w:shd w:val="clear" w:color="auto" w:fill="auto"/>
            <w:vAlign w:val="center"/>
          </w:tcPr>
          <w:p w14:paraId="2798364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1</w:t>
            </w:r>
            <w:r>
              <w:rPr>
                <w:rFonts w:hint="default" w:ascii="Times New Roman" w:hAnsi="Times New Roman" w:cs="Times New Roman"/>
                <w:i w:val="0"/>
                <w:iCs w:val="0"/>
                <w:color w:val="auto"/>
                <w:kern w:val="0"/>
                <w:sz w:val="21"/>
                <w:szCs w:val="21"/>
                <w:highlight w:val="none"/>
                <w:u w:val="none"/>
                <w:lang w:val="en-US" w:eastAsia="zh-CN" w:bidi="ar"/>
              </w:rPr>
              <w:t>4</w:t>
            </w:r>
          </w:p>
        </w:tc>
        <w:tc>
          <w:tcPr>
            <w:tcW w:w="1345" w:type="dxa"/>
            <w:vMerge w:val="continue"/>
            <w:shd w:val="clear" w:color="auto" w:fill="auto"/>
            <w:vAlign w:val="center"/>
          </w:tcPr>
          <w:p w14:paraId="244DC22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p>
        </w:tc>
        <w:tc>
          <w:tcPr>
            <w:tcW w:w="2063" w:type="dxa"/>
            <w:shd w:val="clear" w:color="auto" w:fill="auto"/>
            <w:vAlign w:val="center"/>
          </w:tcPr>
          <w:p w14:paraId="15039E9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建瓴蛋鸡精深加工建设项目</w:t>
            </w:r>
          </w:p>
        </w:tc>
        <w:tc>
          <w:tcPr>
            <w:tcW w:w="1143" w:type="dxa"/>
            <w:shd w:val="clear" w:color="auto" w:fill="auto"/>
            <w:vAlign w:val="center"/>
          </w:tcPr>
          <w:p w14:paraId="27A4977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甘江镇甘霖村</w:t>
            </w:r>
          </w:p>
        </w:tc>
        <w:tc>
          <w:tcPr>
            <w:tcW w:w="5307" w:type="dxa"/>
            <w:shd w:val="clear" w:color="auto" w:fill="auto"/>
            <w:vAlign w:val="center"/>
          </w:tcPr>
          <w:p w14:paraId="292240E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仿宋" w:cs="Times New Roman"/>
                <w:i w:val="0"/>
                <w:iCs w:val="0"/>
                <w:color w:val="auto"/>
                <w:sz w:val="21"/>
                <w:szCs w:val="21"/>
                <w:highlight w:val="none"/>
                <w:u w:val="none"/>
              </w:rPr>
            </w:pPr>
            <w:r>
              <w:rPr>
                <w:rStyle w:val="22"/>
                <w:rFonts w:hint="default" w:ascii="Times New Roman" w:hAnsi="Times New Roman" w:eastAsia="仿宋" w:cs="Times New Roman"/>
                <w:color w:val="auto"/>
                <w:sz w:val="21"/>
                <w:szCs w:val="21"/>
                <w:highlight w:val="none"/>
                <w:lang w:val="en-US" w:eastAsia="zh-CN" w:bidi="ar"/>
              </w:rPr>
              <w:t>新建蛋鸡</w:t>
            </w:r>
            <w:r>
              <w:rPr>
                <w:rStyle w:val="22"/>
                <w:rFonts w:hint="default" w:ascii="Times New Roman" w:hAnsi="Times New Roman" w:cs="Times New Roman"/>
                <w:color w:val="auto"/>
                <w:sz w:val="21"/>
                <w:szCs w:val="21"/>
                <w:highlight w:val="none"/>
                <w:lang w:val="en-US" w:eastAsia="zh-CN" w:bidi="ar"/>
              </w:rPr>
              <w:t>（</w:t>
            </w:r>
            <w:r>
              <w:rPr>
                <w:rStyle w:val="22"/>
                <w:rFonts w:hint="default" w:ascii="Times New Roman" w:hAnsi="Times New Roman" w:eastAsia="仿宋" w:cs="Times New Roman"/>
                <w:color w:val="auto"/>
                <w:sz w:val="21"/>
                <w:szCs w:val="21"/>
                <w:highlight w:val="none"/>
                <w:lang w:val="en-US" w:eastAsia="zh-CN" w:bidi="ar"/>
              </w:rPr>
              <w:t>老母鸡</w:t>
            </w:r>
            <w:r>
              <w:rPr>
                <w:rStyle w:val="22"/>
                <w:rFonts w:hint="default" w:ascii="Times New Roman" w:hAnsi="Times New Roman" w:cs="Times New Roman"/>
                <w:color w:val="auto"/>
                <w:sz w:val="21"/>
                <w:szCs w:val="21"/>
                <w:highlight w:val="none"/>
                <w:lang w:val="en-US" w:eastAsia="zh-CN" w:bidi="ar"/>
              </w:rPr>
              <w:t>）</w:t>
            </w:r>
            <w:r>
              <w:rPr>
                <w:rStyle w:val="22"/>
                <w:rFonts w:hint="default" w:ascii="Times New Roman" w:hAnsi="Times New Roman" w:eastAsia="仿宋" w:cs="Times New Roman"/>
                <w:color w:val="auto"/>
                <w:sz w:val="21"/>
                <w:szCs w:val="21"/>
                <w:highlight w:val="none"/>
                <w:lang w:val="en-US" w:eastAsia="zh-CN" w:bidi="ar"/>
              </w:rPr>
              <w:t>精深加工项目</w:t>
            </w:r>
            <w:r>
              <w:rPr>
                <w:rStyle w:val="22"/>
                <w:rFonts w:hint="eastAsia" w:ascii="Times New Roman" w:hAnsi="Times New Roman" w:eastAsia="仿宋" w:cs="Times New Roman"/>
                <w:color w:val="auto"/>
                <w:sz w:val="21"/>
                <w:szCs w:val="21"/>
                <w:highlight w:val="none"/>
                <w:lang w:val="en-US" w:eastAsia="zh-CN" w:bidi="ar"/>
              </w:rPr>
              <w:t>，</w:t>
            </w:r>
            <w:r>
              <w:rPr>
                <w:rStyle w:val="22"/>
                <w:rFonts w:hint="default" w:ascii="Times New Roman" w:hAnsi="Times New Roman" w:eastAsia="仿宋" w:cs="Times New Roman"/>
                <w:color w:val="auto"/>
                <w:sz w:val="21"/>
                <w:szCs w:val="21"/>
                <w:highlight w:val="none"/>
                <w:lang w:val="en-US" w:eastAsia="zh-CN" w:bidi="ar"/>
              </w:rPr>
              <w:t>建设蛋鸡精深加工车间10000㎡，研发冰鲜净膛老母鸡，药膳鸡汤包、禽肉休闲食品实验室，冷库1座，储存能力2万吨左右，速冻库6个共3000㎡，管理用房1000㎡，沥水池2000m</w:t>
            </w:r>
            <w:r>
              <w:rPr>
                <w:rStyle w:val="23"/>
                <w:rFonts w:hint="default" w:ascii="Times New Roman" w:hAnsi="Times New Roman" w:eastAsia="仿宋" w:cs="Times New Roman"/>
                <w:color w:val="auto"/>
                <w:sz w:val="21"/>
                <w:szCs w:val="21"/>
                <w:highlight w:val="none"/>
                <w:lang w:val="en-US" w:eastAsia="zh-CN" w:bidi="ar"/>
              </w:rPr>
              <w:t>³</w:t>
            </w:r>
            <w:r>
              <w:rPr>
                <w:rStyle w:val="22"/>
                <w:rFonts w:hint="default" w:ascii="Times New Roman" w:hAnsi="Times New Roman" w:eastAsia="仿宋" w:cs="Times New Roman"/>
                <w:color w:val="auto"/>
                <w:sz w:val="21"/>
                <w:szCs w:val="21"/>
                <w:highlight w:val="none"/>
                <w:lang w:val="en-US" w:eastAsia="zh-CN" w:bidi="ar"/>
              </w:rPr>
              <w:t>。配套蛋鸡屠宰加工设备1套；蛋鸡分割、速冷、真空嫩化腌制、包装系统1套；智能切块、切片线1套；连续式预煮及预冷线1套；智能入味复煮线1套；真空1充氮枕式内包装线1套；二次灭菌反压漫入式杀菌系统1套；过冷式速冻线1套；精深加工生产线2条；数字化管理系统1套；水电、污水处理系统，食品安全检测等设施设备。</w:t>
            </w:r>
          </w:p>
        </w:tc>
        <w:tc>
          <w:tcPr>
            <w:tcW w:w="862" w:type="dxa"/>
            <w:shd w:val="clear" w:color="auto" w:fill="auto"/>
            <w:vAlign w:val="center"/>
          </w:tcPr>
          <w:p w14:paraId="3C13618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新建</w:t>
            </w:r>
          </w:p>
        </w:tc>
        <w:tc>
          <w:tcPr>
            <w:tcW w:w="1075" w:type="dxa"/>
            <w:shd w:val="clear" w:color="auto" w:fill="auto"/>
            <w:vAlign w:val="center"/>
          </w:tcPr>
          <w:p w14:paraId="41FBB6D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四川建瓴食品加工有限责任公司</w:t>
            </w:r>
          </w:p>
        </w:tc>
        <w:tc>
          <w:tcPr>
            <w:tcW w:w="1531" w:type="dxa"/>
            <w:shd w:val="clear" w:color="auto" w:fill="auto"/>
            <w:vAlign w:val="center"/>
          </w:tcPr>
          <w:p w14:paraId="12044D1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2027</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2028年</w:t>
            </w:r>
          </w:p>
        </w:tc>
        <w:tc>
          <w:tcPr>
            <w:tcW w:w="910" w:type="dxa"/>
            <w:shd w:val="clear" w:color="auto" w:fill="auto"/>
            <w:vAlign w:val="center"/>
          </w:tcPr>
          <w:p w14:paraId="5F2BF59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13000</w:t>
            </w:r>
          </w:p>
        </w:tc>
      </w:tr>
      <w:tr w14:paraId="2E4C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5" w:hRule="atLeast"/>
        </w:trPr>
        <w:tc>
          <w:tcPr>
            <w:tcW w:w="426" w:type="dxa"/>
            <w:shd w:val="clear" w:color="auto" w:fill="auto"/>
            <w:vAlign w:val="center"/>
          </w:tcPr>
          <w:p w14:paraId="04A4DA6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1</w:t>
            </w:r>
            <w:r>
              <w:rPr>
                <w:rFonts w:hint="default" w:ascii="Times New Roman" w:hAnsi="Times New Roman" w:cs="Times New Roman"/>
                <w:i w:val="0"/>
                <w:iCs w:val="0"/>
                <w:color w:val="auto"/>
                <w:kern w:val="0"/>
                <w:sz w:val="21"/>
                <w:szCs w:val="21"/>
                <w:highlight w:val="none"/>
                <w:u w:val="none"/>
                <w:lang w:val="en-US" w:eastAsia="zh-CN" w:bidi="ar"/>
              </w:rPr>
              <w:t>5</w:t>
            </w:r>
          </w:p>
        </w:tc>
        <w:tc>
          <w:tcPr>
            <w:tcW w:w="1345" w:type="dxa"/>
            <w:vMerge w:val="continue"/>
            <w:shd w:val="clear" w:color="auto" w:fill="auto"/>
            <w:vAlign w:val="center"/>
          </w:tcPr>
          <w:p w14:paraId="7B76FD4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2063" w:type="dxa"/>
            <w:shd w:val="clear" w:color="auto" w:fill="auto"/>
            <w:vAlign w:val="center"/>
          </w:tcPr>
          <w:p w14:paraId="1B25509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飞越食品鸡蛋精深加工建设项目</w:t>
            </w:r>
          </w:p>
        </w:tc>
        <w:tc>
          <w:tcPr>
            <w:tcW w:w="1143" w:type="dxa"/>
            <w:shd w:val="clear" w:color="auto" w:fill="auto"/>
            <w:vAlign w:val="center"/>
          </w:tcPr>
          <w:p w14:paraId="7E823F8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甘江镇甘霖村</w:t>
            </w:r>
          </w:p>
        </w:tc>
        <w:tc>
          <w:tcPr>
            <w:tcW w:w="5307" w:type="dxa"/>
            <w:shd w:val="clear" w:color="auto" w:fill="auto"/>
            <w:vAlign w:val="center"/>
          </w:tcPr>
          <w:p w14:paraId="2F106DC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建设鸡蛋食品精深加工项目，年处理蛋品能力4万吨。建设鸡蛋食品精深加工厂，建筑面积1.5万㎡；鸡蛋储存恒温冻库1栋，配套水电，污水处理等设施；产品研发、检测实验室1个；配套数字化管理系统1套、监控系统1套、应急备用电力设施1套；配套全智能化清洗、消毒、杀菌等处理设备3套；蛋液蛋黄分离加工设施设备3套；蛋黄粉，蛋白粉加工设备1套；蛋黄酱加工设备等3套；电力、管网、储存库房，建设管理用房及附属设施。</w:t>
            </w:r>
          </w:p>
        </w:tc>
        <w:tc>
          <w:tcPr>
            <w:tcW w:w="862" w:type="dxa"/>
            <w:shd w:val="clear" w:color="auto" w:fill="auto"/>
            <w:vAlign w:val="center"/>
          </w:tcPr>
          <w:p w14:paraId="1883107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新建</w:t>
            </w:r>
          </w:p>
        </w:tc>
        <w:tc>
          <w:tcPr>
            <w:tcW w:w="1075" w:type="dxa"/>
            <w:shd w:val="clear" w:color="auto" w:fill="auto"/>
            <w:vAlign w:val="center"/>
          </w:tcPr>
          <w:p w14:paraId="29C42AD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四川飞越食品有限责任公司</w:t>
            </w:r>
          </w:p>
        </w:tc>
        <w:tc>
          <w:tcPr>
            <w:tcW w:w="1531" w:type="dxa"/>
            <w:shd w:val="clear" w:color="auto" w:fill="auto"/>
            <w:vAlign w:val="center"/>
          </w:tcPr>
          <w:p w14:paraId="7BAFC8E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2027</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2028年</w:t>
            </w:r>
          </w:p>
        </w:tc>
        <w:tc>
          <w:tcPr>
            <w:tcW w:w="910" w:type="dxa"/>
            <w:shd w:val="clear" w:color="auto" w:fill="auto"/>
            <w:vAlign w:val="center"/>
          </w:tcPr>
          <w:p w14:paraId="720241B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7996</w:t>
            </w:r>
          </w:p>
        </w:tc>
      </w:tr>
      <w:tr w14:paraId="11C57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834" w:type="dxa"/>
            <w:gridSpan w:val="3"/>
            <w:shd w:val="clear" w:color="auto" w:fill="auto"/>
            <w:vAlign w:val="center"/>
          </w:tcPr>
          <w:p w14:paraId="26B4494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小计</w:t>
            </w:r>
          </w:p>
        </w:tc>
        <w:tc>
          <w:tcPr>
            <w:tcW w:w="1143" w:type="dxa"/>
            <w:shd w:val="clear" w:color="auto" w:fill="auto"/>
            <w:vAlign w:val="center"/>
          </w:tcPr>
          <w:p w14:paraId="5089099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5307" w:type="dxa"/>
            <w:shd w:val="clear" w:color="auto" w:fill="auto"/>
            <w:vAlign w:val="center"/>
          </w:tcPr>
          <w:p w14:paraId="766B9B2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rPr>
                <w:rFonts w:hint="default" w:ascii="Times New Roman" w:hAnsi="Times New Roman" w:eastAsia="仿宋" w:cs="Times New Roman"/>
                <w:i w:val="0"/>
                <w:iCs w:val="0"/>
                <w:color w:val="auto"/>
                <w:sz w:val="21"/>
                <w:szCs w:val="21"/>
                <w:highlight w:val="none"/>
                <w:u w:val="none"/>
              </w:rPr>
            </w:pPr>
          </w:p>
        </w:tc>
        <w:tc>
          <w:tcPr>
            <w:tcW w:w="862" w:type="dxa"/>
            <w:shd w:val="clear" w:color="auto" w:fill="auto"/>
            <w:vAlign w:val="center"/>
          </w:tcPr>
          <w:p w14:paraId="439EF1E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1075" w:type="dxa"/>
            <w:shd w:val="clear" w:color="auto" w:fill="auto"/>
            <w:vAlign w:val="center"/>
          </w:tcPr>
          <w:p w14:paraId="3E433A3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1531" w:type="dxa"/>
            <w:shd w:val="clear" w:color="auto" w:fill="auto"/>
            <w:vAlign w:val="center"/>
          </w:tcPr>
          <w:p w14:paraId="1D8FCF0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910" w:type="dxa"/>
            <w:shd w:val="clear" w:color="auto" w:fill="auto"/>
            <w:vAlign w:val="center"/>
          </w:tcPr>
          <w:p w14:paraId="43D3042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2</w:t>
            </w:r>
            <w:r>
              <w:rPr>
                <w:rFonts w:hint="default" w:ascii="Times New Roman" w:hAnsi="Times New Roman" w:cs="Times New Roman"/>
                <w:i w:val="0"/>
                <w:iCs w:val="0"/>
                <w:color w:val="auto"/>
                <w:kern w:val="0"/>
                <w:sz w:val="21"/>
                <w:szCs w:val="21"/>
                <w:highlight w:val="none"/>
                <w:u w:val="none"/>
                <w:lang w:val="en-US" w:eastAsia="zh-CN" w:bidi="ar"/>
              </w:rPr>
              <w:t>5</w:t>
            </w:r>
            <w:r>
              <w:rPr>
                <w:rFonts w:hint="default" w:ascii="Times New Roman" w:hAnsi="Times New Roman" w:eastAsia="仿宋" w:cs="Times New Roman"/>
                <w:i w:val="0"/>
                <w:iCs w:val="0"/>
                <w:color w:val="auto"/>
                <w:kern w:val="0"/>
                <w:sz w:val="21"/>
                <w:szCs w:val="21"/>
                <w:highlight w:val="none"/>
                <w:u w:val="none"/>
                <w:lang w:val="en-US" w:eastAsia="zh-CN" w:bidi="ar"/>
              </w:rPr>
              <w:t>996</w:t>
            </w:r>
          </w:p>
        </w:tc>
      </w:tr>
      <w:tr w14:paraId="4D57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426" w:type="dxa"/>
            <w:shd w:val="clear" w:color="auto" w:fill="auto"/>
            <w:vAlign w:val="center"/>
          </w:tcPr>
          <w:p w14:paraId="5C89407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1</w:t>
            </w:r>
            <w:r>
              <w:rPr>
                <w:rFonts w:hint="default" w:ascii="Times New Roman" w:hAnsi="Times New Roman" w:cs="Times New Roman"/>
                <w:i w:val="0"/>
                <w:iCs w:val="0"/>
                <w:color w:val="auto"/>
                <w:kern w:val="0"/>
                <w:sz w:val="21"/>
                <w:szCs w:val="21"/>
                <w:highlight w:val="none"/>
                <w:u w:val="none"/>
                <w:lang w:val="en-US" w:eastAsia="zh-CN" w:bidi="ar"/>
              </w:rPr>
              <w:t>6</w:t>
            </w:r>
          </w:p>
        </w:tc>
        <w:tc>
          <w:tcPr>
            <w:tcW w:w="1345" w:type="dxa"/>
            <w:shd w:val="clear" w:color="auto" w:fill="auto"/>
            <w:vAlign w:val="center"/>
          </w:tcPr>
          <w:p w14:paraId="4DA93E0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畜禽养殖污染治理工程</w:t>
            </w:r>
          </w:p>
        </w:tc>
        <w:tc>
          <w:tcPr>
            <w:tcW w:w="2063" w:type="dxa"/>
            <w:shd w:val="clear" w:color="auto" w:fill="auto"/>
            <w:vAlign w:val="center"/>
          </w:tcPr>
          <w:p w14:paraId="5A748C2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畜禽粪污资源化利用项目</w:t>
            </w:r>
          </w:p>
        </w:tc>
        <w:tc>
          <w:tcPr>
            <w:tcW w:w="1143" w:type="dxa"/>
            <w:shd w:val="clear" w:color="auto" w:fill="auto"/>
            <w:vAlign w:val="center"/>
          </w:tcPr>
          <w:p w14:paraId="6EBEDD7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全县</w:t>
            </w:r>
          </w:p>
        </w:tc>
        <w:tc>
          <w:tcPr>
            <w:tcW w:w="5307" w:type="dxa"/>
            <w:shd w:val="clear" w:color="auto" w:fill="auto"/>
            <w:vAlign w:val="center"/>
          </w:tcPr>
          <w:p w14:paraId="611A61F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对全县24家规模畜禽养殖场户进行畜禽粪污资源化利用</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一场一策</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改造。完善畜禽粪污资源化利用设施设备，建设经济高效堆沤肥、贮存发酵、沼气发酵等处理设施、收储运设施设备。培育社会化粪肥施用服务组织，在</w:t>
            </w:r>
            <w:r>
              <w:rPr>
                <w:rFonts w:hint="default" w:ascii="Times New Roman" w:hAnsi="Times New Roman" w:cs="Times New Roman"/>
                <w:i w:val="0"/>
                <w:iCs w:val="0"/>
                <w:color w:val="auto"/>
                <w:kern w:val="0"/>
                <w:sz w:val="21"/>
                <w:szCs w:val="21"/>
                <w:highlight w:val="none"/>
                <w:u w:val="none"/>
                <w:lang w:val="en-US" w:eastAsia="zh-CN" w:bidi="ar"/>
              </w:rPr>
              <w:t>畜禽</w:t>
            </w:r>
            <w:r>
              <w:rPr>
                <w:rFonts w:hint="default" w:ascii="Times New Roman" w:hAnsi="Times New Roman" w:eastAsia="仿宋" w:cs="Times New Roman"/>
                <w:i w:val="0"/>
                <w:iCs w:val="0"/>
                <w:color w:val="auto"/>
                <w:kern w:val="0"/>
                <w:sz w:val="21"/>
                <w:szCs w:val="21"/>
                <w:highlight w:val="none"/>
                <w:u w:val="none"/>
                <w:lang w:val="en-US" w:eastAsia="zh-CN" w:bidi="ar"/>
              </w:rPr>
              <w:t>集中养殖区域，打造规模大、效益好、带动能力强的种养循环示范基地10个。</w:t>
            </w:r>
          </w:p>
        </w:tc>
        <w:tc>
          <w:tcPr>
            <w:tcW w:w="862" w:type="dxa"/>
            <w:shd w:val="clear" w:color="auto" w:fill="auto"/>
            <w:vAlign w:val="center"/>
          </w:tcPr>
          <w:p w14:paraId="3CB7736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改建</w:t>
            </w:r>
          </w:p>
        </w:tc>
        <w:tc>
          <w:tcPr>
            <w:tcW w:w="1075" w:type="dxa"/>
            <w:shd w:val="clear" w:color="auto" w:fill="auto"/>
            <w:vAlign w:val="center"/>
          </w:tcPr>
          <w:p w14:paraId="3E79654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24家规模</w:t>
            </w:r>
            <w:r>
              <w:rPr>
                <w:rFonts w:hint="default" w:ascii="Times New Roman" w:hAnsi="Times New Roman" w:cs="Times New Roman"/>
                <w:i w:val="0"/>
                <w:iCs w:val="0"/>
                <w:color w:val="auto"/>
                <w:kern w:val="0"/>
                <w:sz w:val="21"/>
                <w:szCs w:val="21"/>
                <w:highlight w:val="none"/>
                <w:u w:val="none"/>
                <w:lang w:val="en-US" w:eastAsia="zh-CN" w:bidi="ar"/>
              </w:rPr>
              <w:t>畜禽</w:t>
            </w:r>
            <w:r>
              <w:rPr>
                <w:rFonts w:hint="default" w:ascii="Times New Roman" w:hAnsi="Times New Roman" w:eastAsia="仿宋" w:cs="Times New Roman"/>
                <w:i w:val="0"/>
                <w:iCs w:val="0"/>
                <w:color w:val="auto"/>
                <w:kern w:val="0"/>
                <w:sz w:val="21"/>
                <w:szCs w:val="21"/>
                <w:highlight w:val="none"/>
                <w:u w:val="none"/>
                <w:lang w:val="en-US" w:eastAsia="zh-CN" w:bidi="ar"/>
              </w:rPr>
              <w:t>养殖场户</w:t>
            </w:r>
          </w:p>
        </w:tc>
        <w:tc>
          <w:tcPr>
            <w:tcW w:w="1531" w:type="dxa"/>
            <w:shd w:val="clear" w:color="auto" w:fill="auto"/>
            <w:vAlign w:val="center"/>
          </w:tcPr>
          <w:p w14:paraId="3FAAD47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2025</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2026年</w:t>
            </w:r>
          </w:p>
        </w:tc>
        <w:tc>
          <w:tcPr>
            <w:tcW w:w="910" w:type="dxa"/>
            <w:shd w:val="clear" w:color="auto" w:fill="auto"/>
            <w:vAlign w:val="center"/>
          </w:tcPr>
          <w:p w14:paraId="64F17F8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7868</w:t>
            </w:r>
          </w:p>
        </w:tc>
      </w:tr>
      <w:tr w14:paraId="22E6E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834" w:type="dxa"/>
            <w:gridSpan w:val="3"/>
            <w:shd w:val="clear" w:color="auto" w:fill="auto"/>
            <w:vAlign w:val="center"/>
          </w:tcPr>
          <w:p w14:paraId="4A58F3C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小计</w:t>
            </w:r>
          </w:p>
        </w:tc>
        <w:tc>
          <w:tcPr>
            <w:tcW w:w="1143" w:type="dxa"/>
            <w:shd w:val="clear" w:color="auto" w:fill="auto"/>
            <w:vAlign w:val="center"/>
          </w:tcPr>
          <w:p w14:paraId="33C89AA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5307" w:type="dxa"/>
            <w:shd w:val="clear" w:color="auto" w:fill="auto"/>
            <w:vAlign w:val="center"/>
          </w:tcPr>
          <w:p w14:paraId="47F160A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rPr>
                <w:rFonts w:hint="default" w:ascii="Times New Roman" w:hAnsi="Times New Roman" w:eastAsia="仿宋" w:cs="Times New Roman"/>
                <w:i w:val="0"/>
                <w:iCs w:val="0"/>
                <w:color w:val="auto"/>
                <w:sz w:val="21"/>
                <w:szCs w:val="21"/>
                <w:highlight w:val="none"/>
                <w:u w:val="none"/>
              </w:rPr>
            </w:pPr>
          </w:p>
        </w:tc>
        <w:tc>
          <w:tcPr>
            <w:tcW w:w="862" w:type="dxa"/>
            <w:shd w:val="clear" w:color="auto" w:fill="auto"/>
            <w:vAlign w:val="center"/>
          </w:tcPr>
          <w:p w14:paraId="0117998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1075" w:type="dxa"/>
            <w:shd w:val="clear" w:color="auto" w:fill="auto"/>
            <w:vAlign w:val="center"/>
          </w:tcPr>
          <w:p w14:paraId="1641B34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1531" w:type="dxa"/>
            <w:shd w:val="clear" w:color="auto" w:fill="auto"/>
            <w:vAlign w:val="center"/>
          </w:tcPr>
          <w:p w14:paraId="3F16D03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910" w:type="dxa"/>
            <w:shd w:val="clear" w:color="auto" w:fill="auto"/>
            <w:vAlign w:val="center"/>
          </w:tcPr>
          <w:p w14:paraId="53DE106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7868</w:t>
            </w:r>
          </w:p>
        </w:tc>
      </w:tr>
      <w:tr w14:paraId="58ADE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trPr>
        <w:tc>
          <w:tcPr>
            <w:tcW w:w="426" w:type="dxa"/>
            <w:shd w:val="clear" w:color="auto" w:fill="auto"/>
            <w:vAlign w:val="center"/>
          </w:tcPr>
          <w:p w14:paraId="149738B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1</w:t>
            </w:r>
            <w:r>
              <w:rPr>
                <w:rFonts w:hint="default" w:ascii="Times New Roman" w:hAnsi="Times New Roman" w:cs="Times New Roman"/>
                <w:i w:val="0"/>
                <w:iCs w:val="0"/>
                <w:color w:val="auto"/>
                <w:kern w:val="0"/>
                <w:sz w:val="21"/>
                <w:szCs w:val="21"/>
                <w:highlight w:val="none"/>
                <w:u w:val="none"/>
                <w:lang w:val="en-US" w:eastAsia="zh-CN" w:bidi="ar"/>
              </w:rPr>
              <w:t>7</w:t>
            </w:r>
          </w:p>
        </w:tc>
        <w:tc>
          <w:tcPr>
            <w:tcW w:w="1345" w:type="dxa"/>
            <w:vMerge w:val="restart"/>
            <w:shd w:val="clear" w:color="auto" w:fill="auto"/>
            <w:vAlign w:val="center"/>
          </w:tcPr>
          <w:p w14:paraId="0552D10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公共服务体系工程</w:t>
            </w:r>
          </w:p>
        </w:tc>
        <w:tc>
          <w:tcPr>
            <w:tcW w:w="2063" w:type="dxa"/>
            <w:shd w:val="clear" w:color="auto" w:fill="auto"/>
            <w:vAlign w:val="center"/>
          </w:tcPr>
          <w:p w14:paraId="6AAF8F8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畜禽</w:t>
            </w:r>
            <w:r>
              <w:rPr>
                <w:rFonts w:hint="default" w:ascii="Times New Roman" w:hAnsi="Times New Roman" w:eastAsia="仿宋" w:cs="Times New Roman"/>
                <w:i w:val="0"/>
                <w:iCs w:val="0"/>
                <w:color w:val="auto"/>
                <w:kern w:val="0"/>
                <w:sz w:val="21"/>
                <w:szCs w:val="21"/>
                <w:highlight w:val="none"/>
                <w:u w:val="none"/>
                <w:lang w:val="en-US" w:eastAsia="zh-CN" w:bidi="ar"/>
              </w:rPr>
              <w:t>社会化服务能力提升项目</w:t>
            </w:r>
          </w:p>
        </w:tc>
        <w:tc>
          <w:tcPr>
            <w:tcW w:w="1143" w:type="dxa"/>
            <w:shd w:val="clear" w:color="auto" w:fill="auto"/>
            <w:vAlign w:val="center"/>
          </w:tcPr>
          <w:p w14:paraId="692604D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全县</w:t>
            </w:r>
          </w:p>
        </w:tc>
        <w:tc>
          <w:tcPr>
            <w:tcW w:w="5307" w:type="dxa"/>
            <w:shd w:val="clear" w:color="auto" w:fill="auto"/>
            <w:vAlign w:val="center"/>
          </w:tcPr>
          <w:p w14:paraId="0FD6744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支持</w:t>
            </w:r>
            <w:r>
              <w:rPr>
                <w:rFonts w:hint="default" w:ascii="Times New Roman" w:hAnsi="Times New Roman" w:cs="Times New Roman"/>
                <w:i w:val="0"/>
                <w:iCs w:val="0"/>
                <w:color w:val="auto"/>
                <w:kern w:val="0"/>
                <w:sz w:val="21"/>
                <w:szCs w:val="21"/>
                <w:highlight w:val="none"/>
                <w:u w:val="none"/>
                <w:lang w:val="en-US" w:eastAsia="zh-CN" w:bidi="ar"/>
              </w:rPr>
              <w:t>畜禽</w:t>
            </w:r>
            <w:r>
              <w:rPr>
                <w:rFonts w:hint="default" w:ascii="Times New Roman" w:hAnsi="Times New Roman" w:eastAsia="仿宋" w:cs="Times New Roman"/>
                <w:i w:val="0"/>
                <w:iCs w:val="0"/>
                <w:color w:val="auto"/>
                <w:kern w:val="0"/>
                <w:sz w:val="21"/>
                <w:szCs w:val="21"/>
                <w:highlight w:val="none"/>
                <w:u w:val="none"/>
                <w:lang w:val="en-US" w:eastAsia="zh-CN" w:bidi="ar"/>
              </w:rPr>
              <w:t>品种改良第三方服务机构发展，提升生猪、肉牛等人工授精服务能力。支持畜禽粪污资源化利用、病死畜禽集中无害化处理专业机构配套先进设施装备，提升收集处理能力，推动养殖废弃物高效利用。发展基层兽医服务队伍，实施特聘动物防疫员计划，提升动物疫病防控能力。</w:t>
            </w:r>
          </w:p>
        </w:tc>
        <w:tc>
          <w:tcPr>
            <w:tcW w:w="862" w:type="dxa"/>
            <w:shd w:val="clear" w:color="auto" w:fill="auto"/>
            <w:vAlign w:val="center"/>
          </w:tcPr>
          <w:p w14:paraId="1C0E801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w:t>
            </w:r>
          </w:p>
        </w:tc>
        <w:tc>
          <w:tcPr>
            <w:tcW w:w="1075" w:type="dxa"/>
            <w:shd w:val="clear" w:color="auto" w:fill="auto"/>
            <w:vAlign w:val="center"/>
          </w:tcPr>
          <w:p w14:paraId="4131DE2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县农业农村局</w:t>
            </w:r>
          </w:p>
        </w:tc>
        <w:tc>
          <w:tcPr>
            <w:tcW w:w="1531" w:type="dxa"/>
            <w:shd w:val="clear" w:color="auto" w:fill="auto"/>
            <w:vAlign w:val="center"/>
          </w:tcPr>
          <w:p w14:paraId="3F1F7D3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2025</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2030年</w:t>
            </w:r>
          </w:p>
        </w:tc>
        <w:tc>
          <w:tcPr>
            <w:tcW w:w="910" w:type="dxa"/>
            <w:shd w:val="clear" w:color="auto" w:fill="auto"/>
            <w:vAlign w:val="center"/>
          </w:tcPr>
          <w:p w14:paraId="3D55B09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500</w:t>
            </w:r>
          </w:p>
        </w:tc>
      </w:tr>
      <w:tr w14:paraId="797F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426" w:type="dxa"/>
            <w:shd w:val="clear" w:color="auto" w:fill="auto"/>
            <w:vAlign w:val="center"/>
          </w:tcPr>
          <w:p w14:paraId="60828DC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1</w:t>
            </w:r>
            <w:r>
              <w:rPr>
                <w:rFonts w:hint="default" w:ascii="Times New Roman" w:hAnsi="Times New Roman" w:cs="Times New Roman"/>
                <w:i w:val="0"/>
                <w:iCs w:val="0"/>
                <w:color w:val="auto"/>
                <w:kern w:val="0"/>
                <w:sz w:val="21"/>
                <w:szCs w:val="21"/>
                <w:highlight w:val="none"/>
                <w:u w:val="none"/>
                <w:lang w:val="en-US" w:eastAsia="zh-CN" w:bidi="ar"/>
              </w:rPr>
              <w:t>8</w:t>
            </w:r>
          </w:p>
        </w:tc>
        <w:tc>
          <w:tcPr>
            <w:tcW w:w="1345" w:type="dxa"/>
            <w:vMerge w:val="continue"/>
            <w:shd w:val="clear" w:color="auto" w:fill="auto"/>
            <w:vAlign w:val="center"/>
          </w:tcPr>
          <w:p w14:paraId="0395725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2063" w:type="dxa"/>
            <w:shd w:val="clear" w:color="auto" w:fill="auto"/>
            <w:vAlign w:val="center"/>
          </w:tcPr>
          <w:p w14:paraId="1796965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畜禽</w:t>
            </w:r>
            <w:r>
              <w:rPr>
                <w:rFonts w:hint="default" w:ascii="Times New Roman" w:hAnsi="Times New Roman" w:eastAsia="仿宋" w:cs="Times New Roman"/>
                <w:i w:val="0"/>
                <w:iCs w:val="0"/>
                <w:color w:val="auto"/>
                <w:kern w:val="0"/>
                <w:sz w:val="21"/>
                <w:szCs w:val="21"/>
                <w:highlight w:val="none"/>
                <w:u w:val="none"/>
                <w:lang w:val="en-US" w:eastAsia="zh-CN" w:bidi="ar"/>
              </w:rPr>
              <w:t>名优品牌培育项目</w:t>
            </w:r>
          </w:p>
        </w:tc>
        <w:tc>
          <w:tcPr>
            <w:tcW w:w="1143" w:type="dxa"/>
            <w:shd w:val="clear" w:color="auto" w:fill="auto"/>
            <w:vAlign w:val="center"/>
          </w:tcPr>
          <w:p w14:paraId="64F6DDE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全县</w:t>
            </w:r>
          </w:p>
        </w:tc>
        <w:tc>
          <w:tcPr>
            <w:tcW w:w="5307" w:type="dxa"/>
            <w:shd w:val="clear" w:color="auto" w:fill="auto"/>
            <w:vAlign w:val="center"/>
          </w:tcPr>
          <w:p w14:paraId="374D204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支持积极创建蛋鸡区域公共品牌、企业创建产品品牌10个以上，开展</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三品一标</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认定、名牌畜产品评选，争创著名商标。拓展现代化网络销售渠道，建设线上销售平台。</w:t>
            </w:r>
          </w:p>
        </w:tc>
        <w:tc>
          <w:tcPr>
            <w:tcW w:w="862" w:type="dxa"/>
            <w:shd w:val="clear" w:color="auto" w:fill="auto"/>
            <w:vAlign w:val="center"/>
          </w:tcPr>
          <w:p w14:paraId="5098127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w:t>
            </w:r>
          </w:p>
        </w:tc>
        <w:tc>
          <w:tcPr>
            <w:tcW w:w="1075" w:type="dxa"/>
            <w:shd w:val="clear" w:color="auto" w:fill="auto"/>
            <w:vAlign w:val="center"/>
          </w:tcPr>
          <w:p w14:paraId="1E90F5F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畜禽</w:t>
            </w:r>
            <w:r>
              <w:rPr>
                <w:rFonts w:hint="default" w:ascii="Times New Roman" w:hAnsi="Times New Roman" w:eastAsia="仿宋" w:cs="Times New Roman"/>
                <w:i w:val="0"/>
                <w:iCs w:val="0"/>
                <w:color w:val="auto"/>
                <w:kern w:val="0"/>
                <w:sz w:val="21"/>
                <w:szCs w:val="21"/>
                <w:highlight w:val="none"/>
                <w:u w:val="none"/>
                <w:lang w:val="en-US" w:eastAsia="zh-CN" w:bidi="ar"/>
              </w:rPr>
              <w:t>产业经营主体</w:t>
            </w:r>
          </w:p>
        </w:tc>
        <w:tc>
          <w:tcPr>
            <w:tcW w:w="1531" w:type="dxa"/>
            <w:shd w:val="clear" w:color="auto" w:fill="auto"/>
            <w:vAlign w:val="center"/>
          </w:tcPr>
          <w:p w14:paraId="3297E07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2025</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2030年</w:t>
            </w:r>
          </w:p>
        </w:tc>
        <w:tc>
          <w:tcPr>
            <w:tcW w:w="910" w:type="dxa"/>
            <w:shd w:val="clear" w:color="auto" w:fill="auto"/>
            <w:vAlign w:val="center"/>
          </w:tcPr>
          <w:p w14:paraId="133833F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200</w:t>
            </w:r>
          </w:p>
        </w:tc>
      </w:tr>
      <w:tr w14:paraId="5582B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 w:type="dxa"/>
            <w:shd w:val="clear" w:color="auto" w:fill="auto"/>
            <w:vAlign w:val="center"/>
          </w:tcPr>
          <w:p w14:paraId="4E3EA2D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lang w:val="en-US"/>
              </w:rPr>
            </w:pPr>
            <w:r>
              <w:rPr>
                <w:rFonts w:hint="default" w:ascii="Times New Roman" w:hAnsi="Times New Roman" w:cs="Times New Roman"/>
                <w:i w:val="0"/>
                <w:iCs w:val="0"/>
                <w:color w:val="auto"/>
                <w:kern w:val="0"/>
                <w:sz w:val="21"/>
                <w:szCs w:val="21"/>
                <w:highlight w:val="none"/>
                <w:u w:val="none"/>
                <w:lang w:val="en-US" w:eastAsia="zh-CN" w:bidi="ar"/>
              </w:rPr>
              <w:t>19</w:t>
            </w:r>
          </w:p>
        </w:tc>
        <w:tc>
          <w:tcPr>
            <w:tcW w:w="1345" w:type="dxa"/>
            <w:vMerge w:val="continue"/>
            <w:shd w:val="clear" w:color="auto" w:fill="auto"/>
            <w:vAlign w:val="center"/>
          </w:tcPr>
          <w:p w14:paraId="72BF6C6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2063" w:type="dxa"/>
            <w:shd w:val="clear" w:color="auto" w:fill="auto"/>
            <w:vAlign w:val="center"/>
          </w:tcPr>
          <w:p w14:paraId="447C427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畜禽</w:t>
            </w:r>
            <w:r>
              <w:rPr>
                <w:rFonts w:hint="default" w:ascii="Times New Roman" w:hAnsi="Times New Roman" w:eastAsia="仿宋" w:cs="Times New Roman"/>
                <w:i w:val="0"/>
                <w:iCs w:val="0"/>
                <w:color w:val="auto"/>
                <w:kern w:val="0"/>
                <w:sz w:val="21"/>
                <w:szCs w:val="21"/>
                <w:highlight w:val="none"/>
                <w:u w:val="none"/>
                <w:lang w:val="en-US" w:eastAsia="zh-CN" w:bidi="ar"/>
              </w:rPr>
              <w:t>产业经营主体培育项目</w:t>
            </w:r>
          </w:p>
        </w:tc>
        <w:tc>
          <w:tcPr>
            <w:tcW w:w="1143" w:type="dxa"/>
            <w:shd w:val="clear" w:color="auto" w:fill="auto"/>
            <w:vAlign w:val="center"/>
          </w:tcPr>
          <w:p w14:paraId="437CFDD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全县</w:t>
            </w:r>
          </w:p>
        </w:tc>
        <w:tc>
          <w:tcPr>
            <w:tcW w:w="5307" w:type="dxa"/>
            <w:shd w:val="clear" w:color="auto" w:fill="auto"/>
            <w:vAlign w:val="center"/>
          </w:tcPr>
          <w:p w14:paraId="4A4C658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培育</w:t>
            </w:r>
            <w:r>
              <w:rPr>
                <w:rFonts w:hint="default" w:ascii="Times New Roman" w:hAnsi="Times New Roman" w:cs="Times New Roman"/>
                <w:i w:val="0"/>
                <w:iCs w:val="0"/>
                <w:color w:val="auto"/>
                <w:kern w:val="0"/>
                <w:sz w:val="21"/>
                <w:szCs w:val="21"/>
                <w:highlight w:val="none"/>
                <w:u w:val="none"/>
                <w:lang w:val="en-US" w:eastAsia="zh-CN" w:bidi="ar"/>
              </w:rPr>
              <w:t>1个</w:t>
            </w:r>
            <w:r>
              <w:rPr>
                <w:rFonts w:hint="default" w:ascii="Times New Roman" w:hAnsi="Times New Roman" w:eastAsia="仿宋" w:cs="Times New Roman"/>
                <w:i w:val="0"/>
                <w:iCs w:val="0"/>
                <w:color w:val="auto"/>
                <w:kern w:val="0"/>
                <w:sz w:val="21"/>
                <w:szCs w:val="21"/>
                <w:highlight w:val="none"/>
                <w:u w:val="none"/>
                <w:lang w:val="en-US" w:eastAsia="zh-CN" w:bidi="ar"/>
              </w:rPr>
              <w:t>市值突破10亿元的链主企业，农业产业化联合体2个。</w:t>
            </w:r>
          </w:p>
        </w:tc>
        <w:tc>
          <w:tcPr>
            <w:tcW w:w="862" w:type="dxa"/>
            <w:shd w:val="clear" w:color="auto" w:fill="auto"/>
            <w:vAlign w:val="center"/>
          </w:tcPr>
          <w:p w14:paraId="2B34790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1075" w:type="dxa"/>
            <w:shd w:val="clear" w:color="auto" w:fill="auto"/>
            <w:vAlign w:val="center"/>
          </w:tcPr>
          <w:p w14:paraId="204620D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畜禽</w:t>
            </w:r>
            <w:r>
              <w:rPr>
                <w:rFonts w:hint="default" w:ascii="Times New Roman" w:hAnsi="Times New Roman" w:eastAsia="仿宋" w:cs="Times New Roman"/>
                <w:i w:val="0"/>
                <w:iCs w:val="0"/>
                <w:color w:val="auto"/>
                <w:kern w:val="0"/>
                <w:sz w:val="21"/>
                <w:szCs w:val="21"/>
                <w:highlight w:val="none"/>
                <w:u w:val="none"/>
                <w:lang w:val="en-US" w:eastAsia="zh-CN" w:bidi="ar"/>
              </w:rPr>
              <w:t>产业经营主体</w:t>
            </w:r>
          </w:p>
        </w:tc>
        <w:tc>
          <w:tcPr>
            <w:tcW w:w="1531" w:type="dxa"/>
            <w:shd w:val="clear" w:color="auto" w:fill="auto"/>
            <w:vAlign w:val="center"/>
          </w:tcPr>
          <w:p w14:paraId="08C29A3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2025</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2030年</w:t>
            </w:r>
          </w:p>
        </w:tc>
        <w:tc>
          <w:tcPr>
            <w:tcW w:w="910" w:type="dxa"/>
            <w:shd w:val="clear" w:color="auto" w:fill="auto"/>
            <w:vAlign w:val="center"/>
          </w:tcPr>
          <w:p w14:paraId="692C2C1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500</w:t>
            </w:r>
          </w:p>
        </w:tc>
      </w:tr>
      <w:tr w14:paraId="7CBD1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834" w:type="dxa"/>
            <w:gridSpan w:val="3"/>
            <w:shd w:val="clear" w:color="auto" w:fill="auto"/>
            <w:vAlign w:val="center"/>
          </w:tcPr>
          <w:p w14:paraId="5BDBD4E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小计</w:t>
            </w:r>
          </w:p>
        </w:tc>
        <w:tc>
          <w:tcPr>
            <w:tcW w:w="1143" w:type="dxa"/>
            <w:shd w:val="clear" w:color="auto" w:fill="auto"/>
            <w:vAlign w:val="center"/>
          </w:tcPr>
          <w:p w14:paraId="0C51D36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5307" w:type="dxa"/>
            <w:shd w:val="clear" w:color="auto" w:fill="auto"/>
            <w:vAlign w:val="center"/>
          </w:tcPr>
          <w:p w14:paraId="61C1D93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rPr>
                <w:rFonts w:hint="default" w:ascii="Times New Roman" w:hAnsi="Times New Roman" w:eastAsia="仿宋" w:cs="Times New Roman"/>
                <w:i w:val="0"/>
                <w:iCs w:val="0"/>
                <w:color w:val="auto"/>
                <w:sz w:val="21"/>
                <w:szCs w:val="21"/>
                <w:highlight w:val="none"/>
                <w:u w:val="none"/>
              </w:rPr>
            </w:pPr>
          </w:p>
        </w:tc>
        <w:tc>
          <w:tcPr>
            <w:tcW w:w="862" w:type="dxa"/>
            <w:shd w:val="clear" w:color="auto" w:fill="auto"/>
            <w:vAlign w:val="center"/>
          </w:tcPr>
          <w:p w14:paraId="054ED77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1075" w:type="dxa"/>
            <w:shd w:val="clear" w:color="auto" w:fill="auto"/>
            <w:vAlign w:val="center"/>
          </w:tcPr>
          <w:p w14:paraId="32D43A1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1531" w:type="dxa"/>
            <w:shd w:val="clear" w:color="auto" w:fill="auto"/>
            <w:vAlign w:val="center"/>
          </w:tcPr>
          <w:p w14:paraId="6F260AA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仿宋" w:cs="Times New Roman"/>
                <w:i w:val="0"/>
                <w:iCs w:val="0"/>
                <w:color w:val="auto"/>
                <w:sz w:val="21"/>
                <w:szCs w:val="21"/>
                <w:highlight w:val="none"/>
                <w:u w:val="none"/>
              </w:rPr>
            </w:pPr>
          </w:p>
        </w:tc>
        <w:tc>
          <w:tcPr>
            <w:tcW w:w="910" w:type="dxa"/>
            <w:shd w:val="clear" w:color="auto" w:fill="auto"/>
            <w:vAlign w:val="center"/>
          </w:tcPr>
          <w:p w14:paraId="2F41696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kern w:val="0"/>
                <w:sz w:val="21"/>
                <w:szCs w:val="21"/>
                <w:highlight w:val="none"/>
                <w:u w:val="none"/>
                <w:lang w:val="en-US" w:eastAsia="zh-CN" w:bidi="ar"/>
              </w:rPr>
              <w:t>1200</w:t>
            </w:r>
          </w:p>
        </w:tc>
      </w:tr>
    </w:tbl>
    <w:p w14:paraId="1E7F7422">
      <w:pPr>
        <w:pStyle w:val="6"/>
        <w:rPr>
          <w:rFonts w:hint="default" w:ascii="Times New Roman" w:hAnsi="Times New Roman" w:cs="Times New Roman"/>
          <w:color w:val="auto"/>
          <w:highlight w:val="none"/>
          <w:lang w:val="en-US" w:eastAsia="zh-CN"/>
        </w:rPr>
        <w:sectPr>
          <w:pgSz w:w="16838" w:h="11906" w:orient="landscape"/>
          <w:pgMar w:top="1440" w:right="1800" w:bottom="1440" w:left="1800" w:header="851" w:footer="992" w:gutter="0"/>
          <w:pgNumType w:fmt="decimal"/>
          <w:cols w:space="0" w:num="1"/>
          <w:rtlGutter w:val="0"/>
          <w:docGrid w:type="lines" w:linePitch="312" w:charSpace="0"/>
        </w:sectPr>
      </w:pPr>
    </w:p>
    <w:p w14:paraId="71C1025A">
      <w:pPr>
        <w:spacing w:line="240" w:lineRule="auto"/>
        <w:ind w:left="-1280" w:leftChars="-40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val="en-US" w:eastAsia="zh-CN"/>
        </w:rPr>
        <w:drawing>
          <wp:inline distT="0" distB="0" distL="114300" distR="114300">
            <wp:extent cx="8521700" cy="6350635"/>
            <wp:effectExtent l="0" t="0" r="12700" b="12065"/>
            <wp:docPr id="1" name="图片 1" descr="乐山市夹江县畜禽养殖禁养区限养区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乐山市夹江县畜禽养殖禁养区限养区分布图"/>
                    <pic:cNvPicPr>
                      <a:picLocks noChangeAspect="1"/>
                    </pic:cNvPicPr>
                  </pic:nvPicPr>
                  <pic:blipFill>
                    <a:blip r:embed="rId10"/>
                    <a:srcRect b="3685"/>
                    <a:stretch>
                      <a:fillRect/>
                    </a:stretch>
                  </pic:blipFill>
                  <pic:spPr>
                    <a:xfrm>
                      <a:off x="0" y="0"/>
                      <a:ext cx="8521700" cy="6350635"/>
                    </a:xfrm>
                    <a:prstGeom prst="rect">
                      <a:avLst/>
                    </a:prstGeom>
                  </pic:spPr>
                </pic:pic>
              </a:graphicData>
            </a:graphic>
          </wp:inline>
        </w:drawing>
      </w:r>
    </w:p>
    <w:p w14:paraId="1FDFB894">
      <w:pPr>
        <w:spacing w:line="240" w:lineRule="auto"/>
        <w:ind w:left="-960" w:leftChars="-30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val="en-US" w:eastAsia="zh-CN"/>
        </w:rPr>
        <w:drawing>
          <wp:inline distT="0" distB="0" distL="114300" distR="114300">
            <wp:extent cx="8467090" cy="6133465"/>
            <wp:effectExtent l="0" t="0" r="10160" b="635"/>
            <wp:docPr id="2" name="图片 2" descr="G:/夹江/夹江县“十五五”畜牧业高质量发展规划（2025-2030年）评审稿822/夹江县畜禽产业生产力布局图.jpg夹江县畜禽产业生产力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夹江/夹江县“十五五”畜牧业高质量发展规划（2025-2030年）评审稿822/夹江县畜禽产业生产力布局图.jpg夹江县畜禽产业生产力布局图"/>
                    <pic:cNvPicPr>
                      <a:picLocks noChangeAspect="1"/>
                    </pic:cNvPicPr>
                  </pic:nvPicPr>
                  <pic:blipFill>
                    <a:blip r:embed="rId11"/>
                    <a:srcRect l="5" r="5"/>
                    <a:stretch>
                      <a:fillRect/>
                    </a:stretch>
                  </pic:blipFill>
                  <pic:spPr>
                    <a:xfrm>
                      <a:off x="0" y="0"/>
                      <a:ext cx="8467090" cy="6133465"/>
                    </a:xfrm>
                    <a:prstGeom prst="rect">
                      <a:avLst/>
                    </a:prstGeom>
                  </pic:spPr>
                </pic:pic>
              </a:graphicData>
            </a:graphic>
          </wp:inline>
        </w:drawing>
      </w:r>
    </w:p>
    <w:p w14:paraId="497C8001">
      <w:pPr>
        <w:spacing w:line="240" w:lineRule="auto"/>
        <w:ind w:left="-960" w:leftChars="-30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val="en-US" w:eastAsia="zh-CN"/>
        </w:rPr>
        <w:drawing>
          <wp:inline distT="0" distB="0" distL="114300" distR="114300">
            <wp:extent cx="8286750" cy="6003290"/>
            <wp:effectExtent l="0" t="0" r="0" b="16510"/>
            <wp:docPr id="3" name="图片 3" descr="G:/夹江/阶段成果/夹江县蛋鸡产业生产力布局图.jpg夹江县蛋鸡产业生产力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夹江/阶段成果/夹江县蛋鸡产业生产力布局图.jpg夹江县蛋鸡产业生产力布局图"/>
                    <pic:cNvPicPr>
                      <a:picLocks noChangeAspect="1"/>
                    </pic:cNvPicPr>
                  </pic:nvPicPr>
                  <pic:blipFill>
                    <a:blip r:embed="rId12"/>
                    <a:srcRect l="5" r="5"/>
                    <a:stretch>
                      <a:fillRect/>
                    </a:stretch>
                  </pic:blipFill>
                  <pic:spPr>
                    <a:xfrm>
                      <a:off x="0" y="0"/>
                      <a:ext cx="8286750" cy="6003290"/>
                    </a:xfrm>
                    <a:prstGeom prst="rect">
                      <a:avLst/>
                    </a:prstGeom>
                  </pic:spPr>
                </pic:pic>
              </a:graphicData>
            </a:graphic>
          </wp:inline>
        </w:drawing>
      </w:r>
    </w:p>
    <w:sectPr>
      <w:pgSz w:w="16838" w:h="11906" w:orient="landscape"/>
      <w:pgMar w:top="1800" w:right="1440" w:bottom="1800" w:left="1440" w:header="851" w:footer="992" w:gutter="0"/>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A03131F-AA42-4C66-B6B2-C9FB1DDA75E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F095D937-1FB4-42D8-A482-845640F7F24F}"/>
  </w:font>
  <w:font w:name="方正小标宋简体">
    <w:panose1 w:val="03000509000000000000"/>
    <w:charset w:val="86"/>
    <w:family w:val="auto"/>
    <w:pitch w:val="default"/>
    <w:sig w:usb0="00000001" w:usb1="080E0000" w:usb2="00000000" w:usb3="00000000" w:csb0="00040000" w:csb1="00000000"/>
    <w:embedRegular r:id="rId3" w:fontKey="{04A1E68E-9938-482C-AC5D-201744629368}"/>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embedRegular r:id="rId4" w:fontKey="{D47C415C-F184-4BFA-ABF1-D6AC581A2568}"/>
  </w:font>
  <w:font w:name="微软雅黑">
    <w:panose1 w:val="020B0503020204020204"/>
    <w:charset w:val="86"/>
    <w:family w:val="auto"/>
    <w:pitch w:val="default"/>
    <w:sig w:usb0="80000287" w:usb1="280F3C52" w:usb2="00000016" w:usb3="00000000" w:csb0="0004001F" w:csb1="00000000"/>
    <w:embedRegular r:id="rId5" w:fontKey="{B620FBFB-D6B8-4327-9C14-7AD05E956188}"/>
  </w:font>
  <w:font w:name="方正仿宋_GBK">
    <w:panose1 w:val="02000000000000000000"/>
    <w:charset w:val="86"/>
    <w:family w:val="script"/>
    <w:pitch w:val="default"/>
    <w:sig w:usb0="A00002BF" w:usb1="38CF7CFA" w:usb2="00082016" w:usb3="00000000" w:csb0="00040001" w:csb1="00000000"/>
    <w:embedRegular r:id="rId6" w:fontKey="{A86EFC1F-0E63-4AB8-8745-BD578D5348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D43B6">
    <w:pPr>
      <w:pStyle w:val="8"/>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82D023">
                          <w:pPr>
                            <w:pStyle w:val="8"/>
                            <w:ind w:left="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882D023">
                    <w:pPr>
                      <w:pStyle w:val="8"/>
                      <w:ind w:left="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476E02"/>
    <w:multiLevelType w:val="multilevel"/>
    <w:tmpl w:val="A0476E02"/>
    <w:lvl w:ilvl="0" w:tentative="0">
      <w:start w:val="1"/>
      <w:numFmt w:val="chineseCounting"/>
      <w:suff w:val="nothing"/>
      <w:lvlText w:val="第%1章 "/>
      <w:lvlJc w:val="left"/>
      <w:pPr>
        <w:ind w:left="0" w:firstLine="402"/>
      </w:pPr>
      <w:rPr>
        <w:rFonts w:hint="eastAsia"/>
      </w:rPr>
    </w:lvl>
    <w:lvl w:ilvl="1" w:tentative="0">
      <w:start w:val="1"/>
      <w:numFmt w:val="chineseCounting"/>
      <w:pStyle w:val="20"/>
      <w:suff w:val="nothing"/>
      <w:lvlText w:val="%2、"/>
      <w:lvlJc w:val="left"/>
      <w:pPr>
        <w:tabs>
          <w:tab w:val="left" w:pos="0"/>
        </w:tabs>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D61B57E5"/>
    <w:multiLevelType w:val="singleLevel"/>
    <w:tmpl w:val="D61B57E5"/>
    <w:lvl w:ilvl="0" w:tentative="0">
      <w:start w:val="1"/>
      <w:numFmt w:val="chineseCounting"/>
      <w:suff w:val="nothing"/>
      <w:lvlText w:val="（%1）"/>
      <w:lvlJc w:val="left"/>
      <w:rPr>
        <w:rFonts w:hint="eastAsia"/>
      </w:rPr>
    </w:lvl>
  </w:abstractNum>
  <w:abstractNum w:abstractNumId="2">
    <w:nsid w:val="056B9A02"/>
    <w:multiLevelType w:val="multilevel"/>
    <w:tmpl w:val="056B9A02"/>
    <w:lvl w:ilvl="0" w:tentative="0">
      <w:start w:val="1"/>
      <w:numFmt w:val="chineseCounting"/>
      <w:suff w:val="nothing"/>
      <w:lvlText w:val="%1、"/>
      <w:lvlJc w:val="left"/>
      <w:pPr>
        <w:tabs>
          <w:tab w:val="left" w:pos="0"/>
        </w:tabs>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pStyle w:val="24"/>
      <w:suff w:val="nothing"/>
      <w:lvlText w:val="%4."/>
      <w:lvlJc w:val="left"/>
      <w:pPr>
        <w:tabs>
          <w:tab w:val="left" w:pos="0"/>
        </w:tabs>
        <w:ind w:left="0" w:firstLine="402"/>
      </w:pPr>
      <w:rPr>
        <w:rFonts w:hint="eastAsia"/>
        <w:sz w:val="32"/>
        <w:szCs w:val="32"/>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081A426D"/>
    <w:multiLevelType w:val="multilevel"/>
    <w:tmpl w:val="081A426D"/>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chineseCounting"/>
      <w:pStyle w:val="21"/>
      <w:suff w:val="nothing"/>
      <w:lvlText w:val="（%3）"/>
      <w:lvlJc w:val="left"/>
      <w:pPr>
        <w:tabs>
          <w:tab w:val="left" w:pos="0"/>
        </w:tabs>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4">
    <w:nsid w:val="647DD5C0"/>
    <w:multiLevelType w:val="multilevel"/>
    <w:tmpl w:val="647DD5C0"/>
    <w:lvl w:ilvl="0" w:tentative="0">
      <w:start w:val="1"/>
      <w:numFmt w:val="chineseCounting"/>
      <w:suff w:val="nothing"/>
      <w:lvlText w:val="%1、"/>
      <w:lvlJc w:val="left"/>
      <w:pPr>
        <w:tabs>
          <w:tab w:val="left" w:pos="0"/>
        </w:tabs>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113BD"/>
    <w:rsid w:val="004764C0"/>
    <w:rsid w:val="004822F2"/>
    <w:rsid w:val="00490B57"/>
    <w:rsid w:val="00540BFF"/>
    <w:rsid w:val="0067722F"/>
    <w:rsid w:val="007A6F63"/>
    <w:rsid w:val="00885B23"/>
    <w:rsid w:val="00A566D5"/>
    <w:rsid w:val="00D03026"/>
    <w:rsid w:val="00DC00F9"/>
    <w:rsid w:val="010D7DD7"/>
    <w:rsid w:val="01103D52"/>
    <w:rsid w:val="01334F0A"/>
    <w:rsid w:val="014F6641"/>
    <w:rsid w:val="01536131"/>
    <w:rsid w:val="0194674A"/>
    <w:rsid w:val="019B3879"/>
    <w:rsid w:val="01AE15BA"/>
    <w:rsid w:val="01D717C3"/>
    <w:rsid w:val="01D9415D"/>
    <w:rsid w:val="0227268B"/>
    <w:rsid w:val="022A49B8"/>
    <w:rsid w:val="027619AC"/>
    <w:rsid w:val="029B5175"/>
    <w:rsid w:val="029F2C5A"/>
    <w:rsid w:val="02FE5369"/>
    <w:rsid w:val="031E276F"/>
    <w:rsid w:val="032633D2"/>
    <w:rsid w:val="036F4D79"/>
    <w:rsid w:val="037C563F"/>
    <w:rsid w:val="03830824"/>
    <w:rsid w:val="03CF5817"/>
    <w:rsid w:val="04025BED"/>
    <w:rsid w:val="041B73F3"/>
    <w:rsid w:val="04205FFD"/>
    <w:rsid w:val="04803874"/>
    <w:rsid w:val="054831DE"/>
    <w:rsid w:val="05557F9E"/>
    <w:rsid w:val="05D816C5"/>
    <w:rsid w:val="06222661"/>
    <w:rsid w:val="066A73A6"/>
    <w:rsid w:val="06782196"/>
    <w:rsid w:val="0696261C"/>
    <w:rsid w:val="06AA5C22"/>
    <w:rsid w:val="06E45A7E"/>
    <w:rsid w:val="06EE2458"/>
    <w:rsid w:val="07036B36"/>
    <w:rsid w:val="07213690"/>
    <w:rsid w:val="072D2F81"/>
    <w:rsid w:val="07350087"/>
    <w:rsid w:val="076C6362"/>
    <w:rsid w:val="078E1545"/>
    <w:rsid w:val="07B5718E"/>
    <w:rsid w:val="081F0C0A"/>
    <w:rsid w:val="08444A26"/>
    <w:rsid w:val="08447468"/>
    <w:rsid w:val="08687FE8"/>
    <w:rsid w:val="08EB3560"/>
    <w:rsid w:val="09024E63"/>
    <w:rsid w:val="09534C95"/>
    <w:rsid w:val="09760EAA"/>
    <w:rsid w:val="09954E0D"/>
    <w:rsid w:val="0A285C81"/>
    <w:rsid w:val="0A342878"/>
    <w:rsid w:val="0A895CC6"/>
    <w:rsid w:val="0AAE1DC2"/>
    <w:rsid w:val="0AB80DB3"/>
    <w:rsid w:val="0AC62638"/>
    <w:rsid w:val="0B366F75"/>
    <w:rsid w:val="0B380146"/>
    <w:rsid w:val="0B49165D"/>
    <w:rsid w:val="0B597A1C"/>
    <w:rsid w:val="0BC55E7E"/>
    <w:rsid w:val="0BD87233"/>
    <w:rsid w:val="0C34090D"/>
    <w:rsid w:val="0C684A5B"/>
    <w:rsid w:val="0C726636"/>
    <w:rsid w:val="0C747D97"/>
    <w:rsid w:val="0CD46B6E"/>
    <w:rsid w:val="0D75742F"/>
    <w:rsid w:val="0DA52D0D"/>
    <w:rsid w:val="0DB41F99"/>
    <w:rsid w:val="0DB82AF0"/>
    <w:rsid w:val="0E304730"/>
    <w:rsid w:val="0E601824"/>
    <w:rsid w:val="0E6059EA"/>
    <w:rsid w:val="0EBC29DA"/>
    <w:rsid w:val="0EFC73B5"/>
    <w:rsid w:val="0F167860"/>
    <w:rsid w:val="0F2509E1"/>
    <w:rsid w:val="0F360E40"/>
    <w:rsid w:val="0F3737CC"/>
    <w:rsid w:val="0F384BB8"/>
    <w:rsid w:val="0F7D25CB"/>
    <w:rsid w:val="0FD20B69"/>
    <w:rsid w:val="0FFE1FF0"/>
    <w:rsid w:val="10855BDB"/>
    <w:rsid w:val="109C7C4E"/>
    <w:rsid w:val="109F4EFA"/>
    <w:rsid w:val="10C04E65"/>
    <w:rsid w:val="10E526EB"/>
    <w:rsid w:val="114F505F"/>
    <w:rsid w:val="11625F1D"/>
    <w:rsid w:val="117F353B"/>
    <w:rsid w:val="118440E5"/>
    <w:rsid w:val="11A025A1"/>
    <w:rsid w:val="11A402E3"/>
    <w:rsid w:val="11C42733"/>
    <w:rsid w:val="11C646FD"/>
    <w:rsid w:val="11C71CC7"/>
    <w:rsid w:val="12135F22"/>
    <w:rsid w:val="121C2FC3"/>
    <w:rsid w:val="125E4936"/>
    <w:rsid w:val="128C4224"/>
    <w:rsid w:val="12D97D84"/>
    <w:rsid w:val="12EF37E0"/>
    <w:rsid w:val="12FF5637"/>
    <w:rsid w:val="13390EFF"/>
    <w:rsid w:val="135D071E"/>
    <w:rsid w:val="13977576"/>
    <w:rsid w:val="13983E78"/>
    <w:rsid w:val="13CF716E"/>
    <w:rsid w:val="14C17A01"/>
    <w:rsid w:val="14C7703A"/>
    <w:rsid w:val="151237B6"/>
    <w:rsid w:val="15261620"/>
    <w:rsid w:val="154A73F4"/>
    <w:rsid w:val="15864359"/>
    <w:rsid w:val="15A672A6"/>
    <w:rsid w:val="15B91E83"/>
    <w:rsid w:val="15F16C3A"/>
    <w:rsid w:val="1606156C"/>
    <w:rsid w:val="16223ECC"/>
    <w:rsid w:val="16787C44"/>
    <w:rsid w:val="16903A89"/>
    <w:rsid w:val="16DC0D31"/>
    <w:rsid w:val="16E42190"/>
    <w:rsid w:val="170F61FF"/>
    <w:rsid w:val="17255A22"/>
    <w:rsid w:val="17367C2F"/>
    <w:rsid w:val="173C4B1A"/>
    <w:rsid w:val="17410382"/>
    <w:rsid w:val="17555BDC"/>
    <w:rsid w:val="17AC1CA0"/>
    <w:rsid w:val="18370023"/>
    <w:rsid w:val="18B57797"/>
    <w:rsid w:val="18F901DD"/>
    <w:rsid w:val="191A397A"/>
    <w:rsid w:val="197B304E"/>
    <w:rsid w:val="199D3F96"/>
    <w:rsid w:val="1A312961"/>
    <w:rsid w:val="1A330456"/>
    <w:rsid w:val="1A5F56EF"/>
    <w:rsid w:val="1A694434"/>
    <w:rsid w:val="1A8C6F72"/>
    <w:rsid w:val="1A9E3A39"/>
    <w:rsid w:val="1AF03C10"/>
    <w:rsid w:val="1B0B79E4"/>
    <w:rsid w:val="1B0D514B"/>
    <w:rsid w:val="1B274F60"/>
    <w:rsid w:val="1B9B1DEA"/>
    <w:rsid w:val="1BA333BA"/>
    <w:rsid w:val="1BE023CE"/>
    <w:rsid w:val="1BFB4FA4"/>
    <w:rsid w:val="1C274FAD"/>
    <w:rsid w:val="1C2C7853"/>
    <w:rsid w:val="1CA1608E"/>
    <w:rsid w:val="1D126A49"/>
    <w:rsid w:val="1D181D79"/>
    <w:rsid w:val="1D291FE4"/>
    <w:rsid w:val="1D3F7112"/>
    <w:rsid w:val="1D440623"/>
    <w:rsid w:val="1D4C5041"/>
    <w:rsid w:val="1D6B3A3F"/>
    <w:rsid w:val="1D77334F"/>
    <w:rsid w:val="1DBE7D8F"/>
    <w:rsid w:val="1E421900"/>
    <w:rsid w:val="1E454BFC"/>
    <w:rsid w:val="1EA065AD"/>
    <w:rsid w:val="1EF50FAB"/>
    <w:rsid w:val="1F0E6A21"/>
    <w:rsid w:val="1F4924CA"/>
    <w:rsid w:val="1F4B6242"/>
    <w:rsid w:val="1F614596"/>
    <w:rsid w:val="1F634A7F"/>
    <w:rsid w:val="1F770DE5"/>
    <w:rsid w:val="1FD02566"/>
    <w:rsid w:val="1FD33B08"/>
    <w:rsid w:val="20014799"/>
    <w:rsid w:val="202D76F6"/>
    <w:rsid w:val="2044711D"/>
    <w:rsid w:val="20580C17"/>
    <w:rsid w:val="20744028"/>
    <w:rsid w:val="208539D6"/>
    <w:rsid w:val="20CD2BC5"/>
    <w:rsid w:val="20F8297F"/>
    <w:rsid w:val="21487630"/>
    <w:rsid w:val="214967B1"/>
    <w:rsid w:val="215F39E6"/>
    <w:rsid w:val="216E6218"/>
    <w:rsid w:val="2174533C"/>
    <w:rsid w:val="217575A6"/>
    <w:rsid w:val="217E60C0"/>
    <w:rsid w:val="21A12149"/>
    <w:rsid w:val="21A12F5D"/>
    <w:rsid w:val="21C81DCC"/>
    <w:rsid w:val="21E604A4"/>
    <w:rsid w:val="21FF47D1"/>
    <w:rsid w:val="224E5C00"/>
    <w:rsid w:val="225C34A1"/>
    <w:rsid w:val="22C5630B"/>
    <w:rsid w:val="22E03145"/>
    <w:rsid w:val="2326726E"/>
    <w:rsid w:val="23A202CD"/>
    <w:rsid w:val="23D307BA"/>
    <w:rsid w:val="23E07A5A"/>
    <w:rsid w:val="244F61DB"/>
    <w:rsid w:val="246833F2"/>
    <w:rsid w:val="24883A94"/>
    <w:rsid w:val="24A60C50"/>
    <w:rsid w:val="24AD52A9"/>
    <w:rsid w:val="24DD5B8E"/>
    <w:rsid w:val="250749B9"/>
    <w:rsid w:val="25470CF7"/>
    <w:rsid w:val="256B319A"/>
    <w:rsid w:val="25AB7A3A"/>
    <w:rsid w:val="25C74149"/>
    <w:rsid w:val="260E7063"/>
    <w:rsid w:val="26625FDA"/>
    <w:rsid w:val="267C1B79"/>
    <w:rsid w:val="269A42E9"/>
    <w:rsid w:val="26A701AA"/>
    <w:rsid w:val="26E8081A"/>
    <w:rsid w:val="272B2B14"/>
    <w:rsid w:val="27605028"/>
    <w:rsid w:val="277327DA"/>
    <w:rsid w:val="27984975"/>
    <w:rsid w:val="27A355A4"/>
    <w:rsid w:val="27FD20A3"/>
    <w:rsid w:val="28125526"/>
    <w:rsid w:val="286839C1"/>
    <w:rsid w:val="28803EC9"/>
    <w:rsid w:val="28C57065"/>
    <w:rsid w:val="28D177B8"/>
    <w:rsid w:val="29037B8D"/>
    <w:rsid w:val="29115E06"/>
    <w:rsid w:val="29420A80"/>
    <w:rsid w:val="29431740"/>
    <w:rsid w:val="29AA0009"/>
    <w:rsid w:val="29BC1622"/>
    <w:rsid w:val="29D54B0A"/>
    <w:rsid w:val="2A385615"/>
    <w:rsid w:val="2A6428AE"/>
    <w:rsid w:val="2A7A5C2D"/>
    <w:rsid w:val="2A994305"/>
    <w:rsid w:val="2AAD3A85"/>
    <w:rsid w:val="2AB63109"/>
    <w:rsid w:val="2AC554F0"/>
    <w:rsid w:val="2AD510B6"/>
    <w:rsid w:val="2AF4778E"/>
    <w:rsid w:val="2B65243A"/>
    <w:rsid w:val="2BB4612C"/>
    <w:rsid w:val="2BBA09D7"/>
    <w:rsid w:val="2BE45A54"/>
    <w:rsid w:val="2C13380B"/>
    <w:rsid w:val="2C190738"/>
    <w:rsid w:val="2C594F13"/>
    <w:rsid w:val="2D145EC5"/>
    <w:rsid w:val="2D1E0AF2"/>
    <w:rsid w:val="2D54790D"/>
    <w:rsid w:val="2D574004"/>
    <w:rsid w:val="2D5C6F01"/>
    <w:rsid w:val="2D805DC1"/>
    <w:rsid w:val="2E0028ED"/>
    <w:rsid w:val="2E096542"/>
    <w:rsid w:val="2E6B7E1A"/>
    <w:rsid w:val="2E717347"/>
    <w:rsid w:val="2E7806D6"/>
    <w:rsid w:val="2E9D1EEA"/>
    <w:rsid w:val="2EE30245"/>
    <w:rsid w:val="2F2B7FC7"/>
    <w:rsid w:val="2F522CD5"/>
    <w:rsid w:val="2FB63264"/>
    <w:rsid w:val="2FB7522E"/>
    <w:rsid w:val="2FF574A1"/>
    <w:rsid w:val="30896E2D"/>
    <w:rsid w:val="30977539"/>
    <w:rsid w:val="30B20D73"/>
    <w:rsid w:val="30B5176D"/>
    <w:rsid w:val="30C46DE6"/>
    <w:rsid w:val="30CC4D09"/>
    <w:rsid w:val="30D57B06"/>
    <w:rsid w:val="30DA79C0"/>
    <w:rsid w:val="30FF351C"/>
    <w:rsid w:val="31096E29"/>
    <w:rsid w:val="313A1C72"/>
    <w:rsid w:val="313D4203"/>
    <w:rsid w:val="31401CCC"/>
    <w:rsid w:val="314E5D3F"/>
    <w:rsid w:val="3150386B"/>
    <w:rsid w:val="31537E95"/>
    <w:rsid w:val="31A11534"/>
    <w:rsid w:val="31A54EB0"/>
    <w:rsid w:val="320F4EAD"/>
    <w:rsid w:val="325E3F34"/>
    <w:rsid w:val="326A5826"/>
    <w:rsid w:val="329775F8"/>
    <w:rsid w:val="32A221C5"/>
    <w:rsid w:val="336858EB"/>
    <w:rsid w:val="33994A92"/>
    <w:rsid w:val="33D97E69"/>
    <w:rsid w:val="33DF1860"/>
    <w:rsid w:val="33E3771F"/>
    <w:rsid w:val="33E63FEC"/>
    <w:rsid w:val="33FE0690"/>
    <w:rsid w:val="33FE7E7D"/>
    <w:rsid w:val="340A2986"/>
    <w:rsid w:val="347F27BE"/>
    <w:rsid w:val="348A7D44"/>
    <w:rsid w:val="34B74912"/>
    <w:rsid w:val="34CE2DFE"/>
    <w:rsid w:val="34FF79EF"/>
    <w:rsid w:val="352B5AA6"/>
    <w:rsid w:val="358108B6"/>
    <w:rsid w:val="35847960"/>
    <w:rsid w:val="35B97393"/>
    <w:rsid w:val="35FA2E3F"/>
    <w:rsid w:val="35FA48FF"/>
    <w:rsid w:val="36DE12F2"/>
    <w:rsid w:val="36EC3A0F"/>
    <w:rsid w:val="371F2383"/>
    <w:rsid w:val="37762DA5"/>
    <w:rsid w:val="377A726D"/>
    <w:rsid w:val="38003C16"/>
    <w:rsid w:val="38675A43"/>
    <w:rsid w:val="387E0446"/>
    <w:rsid w:val="38AA2F22"/>
    <w:rsid w:val="38B81C83"/>
    <w:rsid w:val="39382F3B"/>
    <w:rsid w:val="393C5488"/>
    <w:rsid w:val="393E3E02"/>
    <w:rsid w:val="395431B7"/>
    <w:rsid w:val="39551D3F"/>
    <w:rsid w:val="39853F9F"/>
    <w:rsid w:val="39BDF25D"/>
    <w:rsid w:val="39C80763"/>
    <w:rsid w:val="39EB4452"/>
    <w:rsid w:val="39F8091D"/>
    <w:rsid w:val="3A2554AB"/>
    <w:rsid w:val="3A2B6F44"/>
    <w:rsid w:val="3A4751DA"/>
    <w:rsid w:val="3A4F678F"/>
    <w:rsid w:val="3A557B1D"/>
    <w:rsid w:val="3A612A91"/>
    <w:rsid w:val="3A751F6D"/>
    <w:rsid w:val="3A912D77"/>
    <w:rsid w:val="3A9F77F8"/>
    <w:rsid w:val="3AA10FAE"/>
    <w:rsid w:val="3B0C53BE"/>
    <w:rsid w:val="3B0F6577"/>
    <w:rsid w:val="3B1B0D67"/>
    <w:rsid w:val="3BB014AF"/>
    <w:rsid w:val="3BD63AF9"/>
    <w:rsid w:val="3BFA10A9"/>
    <w:rsid w:val="3C1C4E45"/>
    <w:rsid w:val="3C8F0529"/>
    <w:rsid w:val="3CA45E8E"/>
    <w:rsid w:val="3D275AD9"/>
    <w:rsid w:val="3D5063DF"/>
    <w:rsid w:val="3D624A2B"/>
    <w:rsid w:val="3D6407A3"/>
    <w:rsid w:val="3D78207C"/>
    <w:rsid w:val="3DC15BF5"/>
    <w:rsid w:val="3DD17B9E"/>
    <w:rsid w:val="3DD23226"/>
    <w:rsid w:val="3E427893"/>
    <w:rsid w:val="3E58209A"/>
    <w:rsid w:val="3EA572C5"/>
    <w:rsid w:val="3EA80B63"/>
    <w:rsid w:val="3EC22BC0"/>
    <w:rsid w:val="3F057D64"/>
    <w:rsid w:val="3F3917BB"/>
    <w:rsid w:val="3F4F04F4"/>
    <w:rsid w:val="3F8F762D"/>
    <w:rsid w:val="3F9B588B"/>
    <w:rsid w:val="3FAB534D"/>
    <w:rsid w:val="3FAC6431"/>
    <w:rsid w:val="4012098A"/>
    <w:rsid w:val="40331CE5"/>
    <w:rsid w:val="40371D16"/>
    <w:rsid w:val="404F46C3"/>
    <w:rsid w:val="407D0E36"/>
    <w:rsid w:val="40C1459E"/>
    <w:rsid w:val="40C521D7"/>
    <w:rsid w:val="40C652D1"/>
    <w:rsid w:val="412B3808"/>
    <w:rsid w:val="41322966"/>
    <w:rsid w:val="413B5CBF"/>
    <w:rsid w:val="41455CD6"/>
    <w:rsid w:val="41562AF9"/>
    <w:rsid w:val="419378A9"/>
    <w:rsid w:val="41AC096A"/>
    <w:rsid w:val="42242E8F"/>
    <w:rsid w:val="424E12D2"/>
    <w:rsid w:val="42A64608"/>
    <w:rsid w:val="42B86E9B"/>
    <w:rsid w:val="42C451FC"/>
    <w:rsid w:val="42C47321"/>
    <w:rsid w:val="433429C6"/>
    <w:rsid w:val="43A634D0"/>
    <w:rsid w:val="43BC25A9"/>
    <w:rsid w:val="43ED0DC6"/>
    <w:rsid w:val="43F72B79"/>
    <w:rsid w:val="43FD54AD"/>
    <w:rsid w:val="441B3B85"/>
    <w:rsid w:val="44562E10"/>
    <w:rsid w:val="447911DB"/>
    <w:rsid w:val="453E7AC9"/>
    <w:rsid w:val="455455A1"/>
    <w:rsid w:val="455C26A8"/>
    <w:rsid w:val="45813EBC"/>
    <w:rsid w:val="45C7653E"/>
    <w:rsid w:val="46026DAB"/>
    <w:rsid w:val="460A5C60"/>
    <w:rsid w:val="46113492"/>
    <w:rsid w:val="461B1C1B"/>
    <w:rsid w:val="46383DC0"/>
    <w:rsid w:val="46804174"/>
    <w:rsid w:val="46A61E2C"/>
    <w:rsid w:val="46B83AEA"/>
    <w:rsid w:val="46C35424"/>
    <w:rsid w:val="46FF1DFF"/>
    <w:rsid w:val="470D5D36"/>
    <w:rsid w:val="47DC15A7"/>
    <w:rsid w:val="482D1FC1"/>
    <w:rsid w:val="483E371C"/>
    <w:rsid w:val="485F2F54"/>
    <w:rsid w:val="4866004B"/>
    <w:rsid w:val="48AC2FFE"/>
    <w:rsid w:val="48CB3DCC"/>
    <w:rsid w:val="48D93AA3"/>
    <w:rsid w:val="48FF3A76"/>
    <w:rsid w:val="49136104"/>
    <w:rsid w:val="491F199E"/>
    <w:rsid w:val="496F5F39"/>
    <w:rsid w:val="498521CD"/>
    <w:rsid w:val="49956188"/>
    <w:rsid w:val="49BE56DF"/>
    <w:rsid w:val="49BF3CF4"/>
    <w:rsid w:val="4A366A3C"/>
    <w:rsid w:val="4A5279A7"/>
    <w:rsid w:val="4A9E3A07"/>
    <w:rsid w:val="4B1E5FEC"/>
    <w:rsid w:val="4B222B39"/>
    <w:rsid w:val="4B241572"/>
    <w:rsid w:val="4B414BEA"/>
    <w:rsid w:val="4B927440"/>
    <w:rsid w:val="4BC0643B"/>
    <w:rsid w:val="4BC401A0"/>
    <w:rsid w:val="4C026B5B"/>
    <w:rsid w:val="4C2757BD"/>
    <w:rsid w:val="4C3E19CB"/>
    <w:rsid w:val="4C7B07BE"/>
    <w:rsid w:val="4CD954D7"/>
    <w:rsid w:val="4D001B6A"/>
    <w:rsid w:val="4D1B516F"/>
    <w:rsid w:val="4DA41335"/>
    <w:rsid w:val="4DE46F04"/>
    <w:rsid w:val="4E7445BE"/>
    <w:rsid w:val="4E796ACA"/>
    <w:rsid w:val="4E817B3B"/>
    <w:rsid w:val="4E8F7D46"/>
    <w:rsid w:val="4EB26E94"/>
    <w:rsid w:val="4EC00271"/>
    <w:rsid w:val="4F005671"/>
    <w:rsid w:val="4F3855EC"/>
    <w:rsid w:val="4F7E0911"/>
    <w:rsid w:val="4F90367A"/>
    <w:rsid w:val="4F945908"/>
    <w:rsid w:val="4FA170B1"/>
    <w:rsid w:val="4FA42C81"/>
    <w:rsid w:val="4FEB4845"/>
    <w:rsid w:val="4FEB6CBC"/>
    <w:rsid w:val="4FF21C3E"/>
    <w:rsid w:val="4FF97471"/>
    <w:rsid w:val="501A1A7A"/>
    <w:rsid w:val="50502E09"/>
    <w:rsid w:val="505C17AE"/>
    <w:rsid w:val="505E5526"/>
    <w:rsid w:val="508129B2"/>
    <w:rsid w:val="50823D5D"/>
    <w:rsid w:val="50A974A5"/>
    <w:rsid w:val="50C07F8E"/>
    <w:rsid w:val="51616E44"/>
    <w:rsid w:val="51BA2E99"/>
    <w:rsid w:val="51DC2BA6"/>
    <w:rsid w:val="521560B8"/>
    <w:rsid w:val="521C11F4"/>
    <w:rsid w:val="523429E2"/>
    <w:rsid w:val="524B7D2C"/>
    <w:rsid w:val="527B23BF"/>
    <w:rsid w:val="52D84244"/>
    <w:rsid w:val="53220A8C"/>
    <w:rsid w:val="533B1B4E"/>
    <w:rsid w:val="533C1422"/>
    <w:rsid w:val="53C762C4"/>
    <w:rsid w:val="53D17DBD"/>
    <w:rsid w:val="53D61877"/>
    <w:rsid w:val="53DD0E57"/>
    <w:rsid w:val="53F8559F"/>
    <w:rsid w:val="53FC752F"/>
    <w:rsid w:val="54285BD8"/>
    <w:rsid w:val="542B1BC3"/>
    <w:rsid w:val="542E7B43"/>
    <w:rsid w:val="547215A0"/>
    <w:rsid w:val="548200BC"/>
    <w:rsid w:val="54A63BCA"/>
    <w:rsid w:val="54BF3E40"/>
    <w:rsid w:val="55744AB4"/>
    <w:rsid w:val="558E225D"/>
    <w:rsid w:val="55DF6E38"/>
    <w:rsid w:val="55FB55C5"/>
    <w:rsid w:val="561F5822"/>
    <w:rsid w:val="565630A1"/>
    <w:rsid w:val="56737851"/>
    <w:rsid w:val="567D7EFD"/>
    <w:rsid w:val="56AC22AA"/>
    <w:rsid w:val="56AD2D63"/>
    <w:rsid w:val="56D72E1C"/>
    <w:rsid w:val="57106E4E"/>
    <w:rsid w:val="578A3AD1"/>
    <w:rsid w:val="57BE75EA"/>
    <w:rsid w:val="57BFAC1A"/>
    <w:rsid w:val="57E17504"/>
    <w:rsid w:val="581B5AAA"/>
    <w:rsid w:val="582805AA"/>
    <w:rsid w:val="58CE6FC1"/>
    <w:rsid w:val="58D549A1"/>
    <w:rsid w:val="5959120E"/>
    <w:rsid w:val="59F34F31"/>
    <w:rsid w:val="5A2F1CE1"/>
    <w:rsid w:val="5AB65E49"/>
    <w:rsid w:val="5B01367D"/>
    <w:rsid w:val="5B81031A"/>
    <w:rsid w:val="5BBE349D"/>
    <w:rsid w:val="5BFB631F"/>
    <w:rsid w:val="5C9C18B0"/>
    <w:rsid w:val="5CDD4DBD"/>
    <w:rsid w:val="5D062406"/>
    <w:rsid w:val="5D1C3DFD"/>
    <w:rsid w:val="5DC716F5"/>
    <w:rsid w:val="5DCC7F73"/>
    <w:rsid w:val="5E28014D"/>
    <w:rsid w:val="5E4E4E2C"/>
    <w:rsid w:val="5E875C48"/>
    <w:rsid w:val="5EF3152F"/>
    <w:rsid w:val="5F09711C"/>
    <w:rsid w:val="5F097FC5"/>
    <w:rsid w:val="5F11110F"/>
    <w:rsid w:val="5F3C5DBB"/>
    <w:rsid w:val="5F3F3148"/>
    <w:rsid w:val="5F5B215B"/>
    <w:rsid w:val="5F616AD6"/>
    <w:rsid w:val="5F7268F8"/>
    <w:rsid w:val="5F8B2E33"/>
    <w:rsid w:val="5FC03B07"/>
    <w:rsid w:val="5FC9313D"/>
    <w:rsid w:val="5FDE21DF"/>
    <w:rsid w:val="5FE01AB3"/>
    <w:rsid w:val="601F1DED"/>
    <w:rsid w:val="60581427"/>
    <w:rsid w:val="60874625"/>
    <w:rsid w:val="60B13450"/>
    <w:rsid w:val="60F825C7"/>
    <w:rsid w:val="611B37BA"/>
    <w:rsid w:val="61351EF3"/>
    <w:rsid w:val="614E290E"/>
    <w:rsid w:val="618542DC"/>
    <w:rsid w:val="618A4BA6"/>
    <w:rsid w:val="619C4100"/>
    <w:rsid w:val="61A70CE3"/>
    <w:rsid w:val="61AD073C"/>
    <w:rsid w:val="61AF3E33"/>
    <w:rsid w:val="61D973FD"/>
    <w:rsid w:val="61F050AA"/>
    <w:rsid w:val="62101E8A"/>
    <w:rsid w:val="62300FDA"/>
    <w:rsid w:val="624176FE"/>
    <w:rsid w:val="625C5701"/>
    <w:rsid w:val="62CE02E9"/>
    <w:rsid w:val="62E95063"/>
    <w:rsid w:val="63150AD1"/>
    <w:rsid w:val="633247C2"/>
    <w:rsid w:val="63551471"/>
    <w:rsid w:val="63BA261B"/>
    <w:rsid w:val="63E47698"/>
    <w:rsid w:val="63E55466"/>
    <w:rsid w:val="64502F80"/>
    <w:rsid w:val="64994927"/>
    <w:rsid w:val="64A4595E"/>
    <w:rsid w:val="64E262CE"/>
    <w:rsid w:val="64F733FB"/>
    <w:rsid w:val="65207558"/>
    <w:rsid w:val="654E40C4"/>
    <w:rsid w:val="65752C9E"/>
    <w:rsid w:val="658B79A7"/>
    <w:rsid w:val="65D426EE"/>
    <w:rsid w:val="65D8147F"/>
    <w:rsid w:val="65DD6A95"/>
    <w:rsid w:val="65EB7404"/>
    <w:rsid w:val="65F75DA9"/>
    <w:rsid w:val="66326DE1"/>
    <w:rsid w:val="66410DD2"/>
    <w:rsid w:val="664775C5"/>
    <w:rsid w:val="665C68CF"/>
    <w:rsid w:val="669B2BD8"/>
    <w:rsid w:val="66B206ED"/>
    <w:rsid w:val="66B52048"/>
    <w:rsid w:val="66C56152"/>
    <w:rsid w:val="66D52A50"/>
    <w:rsid w:val="66D954AE"/>
    <w:rsid w:val="66EA6951"/>
    <w:rsid w:val="66FA1A04"/>
    <w:rsid w:val="673B36E2"/>
    <w:rsid w:val="6751313A"/>
    <w:rsid w:val="6764121C"/>
    <w:rsid w:val="6775196C"/>
    <w:rsid w:val="678C2521"/>
    <w:rsid w:val="67CF4022"/>
    <w:rsid w:val="67F87BB6"/>
    <w:rsid w:val="68DC3034"/>
    <w:rsid w:val="68E87C2B"/>
    <w:rsid w:val="68F16ADF"/>
    <w:rsid w:val="68F44821"/>
    <w:rsid w:val="68F760C0"/>
    <w:rsid w:val="692A1FF1"/>
    <w:rsid w:val="69C67F6C"/>
    <w:rsid w:val="69E80D63"/>
    <w:rsid w:val="6A101995"/>
    <w:rsid w:val="6A124EE7"/>
    <w:rsid w:val="6A191357"/>
    <w:rsid w:val="6A1F0D5E"/>
    <w:rsid w:val="6A2D7FEB"/>
    <w:rsid w:val="6A5512F0"/>
    <w:rsid w:val="6A58493C"/>
    <w:rsid w:val="6AB44268"/>
    <w:rsid w:val="6AE54422"/>
    <w:rsid w:val="6B235277"/>
    <w:rsid w:val="6B633598"/>
    <w:rsid w:val="6B63632B"/>
    <w:rsid w:val="6B637A3C"/>
    <w:rsid w:val="6B665D17"/>
    <w:rsid w:val="6BC56001"/>
    <w:rsid w:val="6BEA3CBA"/>
    <w:rsid w:val="6BF048CA"/>
    <w:rsid w:val="6BF95CAB"/>
    <w:rsid w:val="6C06756A"/>
    <w:rsid w:val="6C076E5C"/>
    <w:rsid w:val="6C2B3C4B"/>
    <w:rsid w:val="6C836E9C"/>
    <w:rsid w:val="6C860377"/>
    <w:rsid w:val="6CB33934"/>
    <w:rsid w:val="6CD752BD"/>
    <w:rsid w:val="6CEF1588"/>
    <w:rsid w:val="6D0B038C"/>
    <w:rsid w:val="6D25144D"/>
    <w:rsid w:val="6D713EC3"/>
    <w:rsid w:val="6D7B106D"/>
    <w:rsid w:val="6DA92013"/>
    <w:rsid w:val="6DE7425F"/>
    <w:rsid w:val="6E182D60"/>
    <w:rsid w:val="6E2476C2"/>
    <w:rsid w:val="6E602011"/>
    <w:rsid w:val="6E91666F"/>
    <w:rsid w:val="6ECE3E27"/>
    <w:rsid w:val="6ED21161"/>
    <w:rsid w:val="6EE3511C"/>
    <w:rsid w:val="6EFF6FEC"/>
    <w:rsid w:val="6F1860EB"/>
    <w:rsid w:val="6F5A3BC4"/>
    <w:rsid w:val="6F5D2524"/>
    <w:rsid w:val="6F614293"/>
    <w:rsid w:val="6F670A7D"/>
    <w:rsid w:val="6F806E0F"/>
    <w:rsid w:val="6FA15F53"/>
    <w:rsid w:val="6FB1217F"/>
    <w:rsid w:val="6FD607DD"/>
    <w:rsid w:val="70585696"/>
    <w:rsid w:val="7069490C"/>
    <w:rsid w:val="70814BED"/>
    <w:rsid w:val="708F6BDE"/>
    <w:rsid w:val="70973732"/>
    <w:rsid w:val="70F07C79"/>
    <w:rsid w:val="70F3716D"/>
    <w:rsid w:val="710B6BAC"/>
    <w:rsid w:val="713A6130"/>
    <w:rsid w:val="71A17ED7"/>
    <w:rsid w:val="71BE59CD"/>
    <w:rsid w:val="71D168D3"/>
    <w:rsid w:val="71EB60E9"/>
    <w:rsid w:val="71EC2EBD"/>
    <w:rsid w:val="72084E9A"/>
    <w:rsid w:val="721379EE"/>
    <w:rsid w:val="72145A91"/>
    <w:rsid w:val="72A13CDC"/>
    <w:rsid w:val="72AC0B24"/>
    <w:rsid w:val="72B702CF"/>
    <w:rsid w:val="730D78EE"/>
    <w:rsid w:val="735147D7"/>
    <w:rsid w:val="736A5E0C"/>
    <w:rsid w:val="736D5536"/>
    <w:rsid w:val="740A3FB8"/>
    <w:rsid w:val="740A4EF9"/>
    <w:rsid w:val="74717EED"/>
    <w:rsid w:val="749C7C2F"/>
    <w:rsid w:val="74E039E8"/>
    <w:rsid w:val="750122A0"/>
    <w:rsid w:val="75251540"/>
    <w:rsid w:val="753405C3"/>
    <w:rsid w:val="75502C54"/>
    <w:rsid w:val="75733B95"/>
    <w:rsid w:val="75F93B96"/>
    <w:rsid w:val="75FB6152"/>
    <w:rsid w:val="75FF2AA6"/>
    <w:rsid w:val="760B4FB9"/>
    <w:rsid w:val="762B6E5C"/>
    <w:rsid w:val="7639646C"/>
    <w:rsid w:val="76726933"/>
    <w:rsid w:val="767769AF"/>
    <w:rsid w:val="768E0063"/>
    <w:rsid w:val="769A5042"/>
    <w:rsid w:val="76C560B6"/>
    <w:rsid w:val="76CF41D8"/>
    <w:rsid w:val="77642B72"/>
    <w:rsid w:val="77667CB6"/>
    <w:rsid w:val="77EC0BEE"/>
    <w:rsid w:val="784B5AE0"/>
    <w:rsid w:val="78581EE5"/>
    <w:rsid w:val="78803059"/>
    <w:rsid w:val="7880695D"/>
    <w:rsid w:val="78970D25"/>
    <w:rsid w:val="78BD69DE"/>
    <w:rsid w:val="78FF6FF6"/>
    <w:rsid w:val="79055BA7"/>
    <w:rsid w:val="794E7636"/>
    <w:rsid w:val="797D6023"/>
    <w:rsid w:val="79AE5130"/>
    <w:rsid w:val="79E63112"/>
    <w:rsid w:val="79F66C7D"/>
    <w:rsid w:val="79FB2B4A"/>
    <w:rsid w:val="7A010B4C"/>
    <w:rsid w:val="7A230AC3"/>
    <w:rsid w:val="7A3E3409"/>
    <w:rsid w:val="7A8E03C8"/>
    <w:rsid w:val="7B002BB2"/>
    <w:rsid w:val="7B7E3B53"/>
    <w:rsid w:val="7BA71F7C"/>
    <w:rsid w:val="7BF22E42"/>
    <w:rsid w:val="7C1032C9"/>
    <w:rsid w:val="7C694787"/>
    <w:rsid w:val="7C7C095E"/>
    <w:rsid w:val="7C9A3D93"/>
    <w:rsid w:val="7CA231C0"/>
    <w:rsid w:val="7CA23467"/>
    <w:rsid w:val="7D2964E6"/>
    <w:rsid w:val="7D342FE7"/>
    <w:rsid w:val="7D934845"/>
    <w:rsid w:val="7DCF4ABD"/>
    <w:rsid w:val="7E391018"/>
    <w:rsid w:val="7EAB72D9"/>
    <w:rsid w:val="7EDC56E4"/>
    <w:rsid w:val="7EF7251E"/>
    <w:rsid w:val="7F0F7867"/>
    <w:rsid w:val="7F282EA8"/>
    <w:rsid w:val="7F2A017A"/>
    <w:rsid w:val="7F383042"/>
    <w:rsid w:val="7F6E6B0B"/>
    <w:rsid w:val="7F737DF6"/>
    <w:rsid w:val="7F77124B"/>
    <w:rsid w:val="7F7D3A43"/>
    <w:rsid w:val="7F8A3392"/>
    <w:rsid w:val="7FB65F35"/>
    <w:rsid w:val="7FFC894B"/>
    <w:rsid w:val="CEEF752D"/>
    <w:rsid w:val="FE7BC3AD"/>
    <w:rsid w:val="FF9FFB9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720" w:firstLineChars="200"/>
      <w:jc w:val="both"/>
    </w:pPr>
    <w:rPr>
      <w:rFonts w:ascii="Calibri" w:hAnsi="Calibri" w:eastAsia="仿宋_GB2312" w:cs="Times New Roman"/>
      <w:kern w:val="2"/>
      <w:sz w:val="32"/>
      <w:szCs w:val="22"/>
      <w:lang w:val="en-US" w:eastAsia="zh-CN" w:bidi="ar-SA"/>
    </w:rPr>
  </w:style>
  <w:style w:type="paragraph" w:styleId="2">
    <w:name w:val="heading 1"/>
    <w:basedOn w:val="1"/>
    <w:next w:val="1"/>
    <w:qFormat/>
    <w:uiPriority w:val="0"/>
    <w:pPr>
      <w:keepNext/>
      <w:keepLines/>
      <w:spacing w:beforeLines="0" w:beforeAutospacing="0" w:afterLines="0" w:afterAutospacing="0" w:line="360" w:lineRule="auto"/>
      <w:jc w:val="center"/>
      <w:outlineLvl w:val="0"/>
    </w:pPr>
    <w:rPr>
      <w:rFonts w:eastAsia="方正小标宋简体"/>
      <w:b/>
      <w:kern w:val="44"/>
      <w:sz w:val="44"/>
    </w:rPr>
  </w:style>
  <w:style w:type="paragraph" w:styleId="3">
    <w:name w:val="heading 2"/>
    <w:basedOn w:val="1"/>
    <w:next w:val="1"/>
    <w:unhideWhenUsed/>
    <w:qFormat/>
    <w:uiPriority w:val="0"/>
    <w:pPr>
      <w:keepNext/>
      <w:keepLines/>
      <w:spacing w:beforeLines="0" w:beforeAutospacing="0" w:afterLines="0" w:afterAutospacing="0" w:line="360" w:lineRule="auto"/>
      <w:ind w:firstLine="0" w:firstLineChars="0"/>
      <w:jc w:val="left"/>
      <w:outlineLvl w:val="1"/>
    </w:pPr>
    <w:rPr>
      <w:rFonts w:ascii="Arial" w:hAnsi="Arial" w:eastAsia="黑体"/>
    </w:rPr>
  </w:style>
  <w:style w:type="paragraph" w:styleId="4">
    <w:name w:val="heading 3"/>
    <w:basedOn w:val="1"/>
    <w:next w:val="1"/>
    <w:unhideWhenUsed/>
    <w:qFormat/>
    <w:uiPriority w:val="0"/>
    <w:pPr>
      <w:keepNext/>
      <w:keepLines/>
      <w:adjustRightInd w:val="0"/>
      <w:snapToGrid w:val="0"/>
      <w:spacing w:before="30" w:beforeLines="30" w:beforeAutospacing="0" w:after="30" w:afterLines="30" w:afterAutospacing="0" w:line="560" w:lineRule="exact"/>
      <w:outlineLvl w:val="2"/>
    </w:pPr>
    <w:rPr>
      <w:b/>
    </w:rPr>
  </w:style>
  <w:style w:type="paragraph" w:styleId="5">
    <w:name w:val="heading 4"/>
    <w:basedOn w:val="1"/>
    <w:next w:val="1"/>
    <w:semiHidden/>
    <w:unhideWhenUsed/>
    <w:qFormat/>
    <w:uiPriority w:val="0"/>
    <w:pPr>
      <w:numPr>
        <w:ilvl w:val="3"/>
        <w:numId w:val="1"/>
      </w:numPr>
      <w:spacing w:beforeAutospacing="1" w:afterAutospacing="1"/>
      <w:jc w:val="left"/>
      <w:outlineLvl w:val="3"/>
    </w:pPr>
    <w:rPr>
      <w:rFonts w:hint="eastAsia" w:ascii="宋体" w:hAnsi="宋体" w:eastAsia="宋体" w:cs="Times New Roman"/>
      <w:b/>
      <w:bCs/>
      <w:kern w:val="0"/>
      <w:sz w:val="24"/>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6">
    <w:name w:val="Salutation"/>
    <w:basedOn w:val="1"/>
    <w:next w:val="1"/>
    <w:unhideWhenUsed/>
    <w:qFormat/>
    <w:uiPriority w:val="99"/>
  </w:style>
  <w:style w:type="paragraph" w:styleId="7">
    <w:name w:val="toc 3"/>
    <w:basedOn w:val="1"/>
    <w:next w:val="1"/>
    <w:qFormat/>
    <w:uiPriority w:val="0"/>
    <w:pPr>
      <w:ind w:left="840" w:leftChars="4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unhideWhenUsed/>
    <w:qFormat/>
    <w:uiPriority w:val="39"/>
    <w:rPr>
      <w:sz w:val="28"/>
    </w:rPr>
  </w:style>
  <w:style w:type="paragraph" w:styleId="11">
    <w:name w:val="toc 4"/>
    <w:basedOn w:val="1"/>
    <w:next w:val="1"/>
    <w:qFormat/>
    <w:uiPriority w:val="0"/>
    <w:pPr>
      <w:ind w:left="1260" w:leftChars="600"/>
    </w:pPr>
  </w:style>
  <w:style w:type="paragraph" w:styleId="12">
    <w:name w:val="toc 2"/>
    <w:basedOn w:val="1"/>
    <w:next w:val="1"/>
    <w:unhideWhenUsed/>
    <w:qFormat/>
    <w:uiPriority w:val="39"/>
    <w:pPr>
      <w:ind w:left="420" w:leftChars="200"/>
    </w:pPr>
    <w:rPr>
      <w:sz w:val="24"/>
    </w:rPr>
  </w:style>
  <w:style w:type="paragraph" w:styleId="13">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Emphasis"/>
    <w:basedOn w:val="16"/>
    <w:qFormat/>
    <w:uiPriority w:val="0"/>
    <w:rPr>
      <w:i/>
    </w:rPr>
  </w:style>
  <w:style w:type="character" w:styleId="19">
    <w:name w:val="Hyperlink"/>
    <w:unhideWhenUsed/>
    <w:qFormat/>
    <w:uiPriority w:val="99"/>
    <w:rPr>
      <w:color w:val="0000FF"/>
      <w:u w:val="single"/>
    </w:rPr>
  </w:style>
  <w:style w:type="paragraph" w:customStyle="1" w:styleId="20">
    <w:name w:val="二级标题（昭鲁大）"/>
    <w:basedOn w:val="1"/>
    <w:next w:val="1"/>
    <w:qFormat/>
    <w:uiPriority w:val="0"/>
    <w:pPr>
      <w:keepNext/>
      <w:keepLines/>
      <w:numPr>
        <w:ilvl w:val="1"/>
        <w:numId w:val="2"/>
      </w:numPr>
      <w:spacing w:line="360" w:lineRule="auto"/>
      <w:ind w:firstLine="640" w:firstLineChars="200"/>
      <w:jc w:val="left"/>
      <w:outlineLvl w:val="1"/>
    </w:pPr>
    <w:rPr>
      <w:rFonts w:hint="eastAsia" w:ascii="Times New Roman" w:hAnsi="Times New Roman" w:eastAsia="方正仿宋_GB2312" w:cstheme="majorBidi"/>
      <w:b/>
      <w:sz w:val="32"/>
      <w:szCs w:val="32"/>
    </w:rPr>
  </w:style>
  <w:style w:type="paragraph" w:customStyle="1" w:styleId="21">
    <w:name w:val="三级标题（昭鲁大）"/>
    <w:basedOn w:val="1"/>
    <w:next w:val="1"/>
    <w:qFormat/>
    <w:uiPriority w:val="0"/>
    <w:pPr>
      <w:keepNext/>
      <w:keepLines/>
      <w:numPr>
        <w:ilvl w:val="2"/>
        <w:numId w:val="3"/>
      </w:numPr>
      <w:spacing w:line="416" w:lineRule="auto"/>
      <w:ind w:firstLine="643" w:firstLineChars="200"/>
      <w:outlineLvl w:val="2"/>
    </w:pPr>
    <w:rPr>
      <w:rFonts w:ascii="Times New Roman" w:hAnsi="Times New Roman" w:eastAsia="方正仿宋_GB2312"/>
      <w:b/>
      <w:bCs/>
      <w:sz w:val="32"/>
      <w:szCs w:val="32"/>
    </w:rPr>
  </w:style>
  <w:style w:type="character" w:customStyle="1" w:styleId="22">
    <w:name w:val="font11"/>
    <w:basedOn w:val="16"/>
    <w:qFormat/>
    <w:uiPriority w:val="0"/>
    <w:rPr>
      <w:rFonts w:hint="eastAsia" w:ascii="仿宋" w:hAnsi="仿宋" w:eastAsia="仿宋" w:cs="仿宋"/>
      <w:color w:val="000000"/>
      <w:sz w:val="28"/>
      <w:szCs w:val="28"/>
      <w:u w:val="none"/>
    </w:rPr>
  </w:style>
  <w:style w:type="character" w:customStyle="1" w:styleId="23">
    <w:name w:val="font21"/>
    <w:basedOn w:val="16"/>
    <w:qFormat/>
    <w:uiPriority w:val="0"/>
    <w:rPr>
      <w:rFonts w:hint="eastAsia" w:ascii="宋体" w:hAnsi="宋体" w:eastAsia="宋体" w:cs="宋体"/>
      <w:color w:val="000000"/>
      <w:sz w:val="28"/>
      <w:szCs w:val="28"/>
      <w:u w:val="none"/>
    </w:rPr>
  </w:style>
  <w:style w:type="paragraph" w:customStyle="1" w:styleId="24">
    <w:name w:val="四级标题（昭鲁大）"/>
    <w:basedOn w:val="1"/>
    <w:qFormat/>
    <w:uiPriority w:val="0"/>
    <w:pPr>
      <w:numPr>
        <w:ilvl w:val="3"/>
        <w:numId w:val="4"/>
      </w:numPr>
      <w:overflowPunct w:val="0"/>
      <w:spacing w:line="312" w:lineRule="auto"/>
      <w:ind w:firstLine="643" w:firstLineChars="200"/>
      <w:outlineLvl w:val="3"/>
    </w:pPr>
    <w:rPr>
      <w:rFonts w:ascii="Times New Roman" w:hAnsi="Times New Roman" w:eastAsia="方正仿宋_GB2312" w:cs="Times New Roman"/>
      <w:b/>
      <w:bCs/>
      <w:color w:val="000000" w:themeColor="text1"/>
      <w:sz w:val="32"/>
      <w:szCs w:val="32"/>
      <w14:textFill>
        <w14:solidFill>
          <w14:schemeClr w14:val="tx1"/>
        </w14:solidFill>
      </w14:textFill>
    </w:rPr>
  </w:style>
  <w:style w:type="paragraph" w:customStyle="1" w:styleId="25">
    <w:name w:val="正文文本（昭鲁大）"/>
    <w:basedOn w:val="1"/>
    <w:qFormat/>
    <w:uiPriority w:val="0"/>
    <w:pPr>
      <w:spacing w:line="580" w:lineRule="exact"/>
      <w:ind w:firstLine="640" w:firstLineChars="200"/>
    </w:pPr>
    <w:rPr>
      <w:rFonts w:ascii="Times New Roman" w:hAnsi="Times New Roman" w:eastAsia="方正仿宋_GB2312"/>
      <w:sz w:val="3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8912ef65-2c0c-475b-9a37-ed9947e69879</errorID>
      <errorWord>平</errorWord>
      <group>L1_Word</group>
      <groupName>字词问题</groupName>
      <ability>L2_Typo</ability>
      <abilityName>字词错误</abilityName>
      <candidateList>
        <item>平有</item>
      </candidateList>
      <explain/>
      <paraID>346182F9</paraID>
      <start>8</start>
      <end>10</end>
      <status>modified</status>
      <modifiedWord>平有</modifiedWord>
      <trackRevisions>false</trackRevisions>
    </reviewItem>
    <reviewItem>
      <errorID>9257eaad-b2a4-4a78-88c3-b02e98266796</errorID>
      <errorWord>&gt;</errorWord>
      <group>L1_Punc</group>
      <groupName>标点问题</groupName>
      <ability>L2_Punc</ability>
      <abilityName>标点符号检查</abilityName>
      <candidateList/>
      <explain/>
      <paraID>5078DDF5</paraID>
      <start>0</start>
      <end>1</end>
      <status>ignored</status>
      <modifiedWord/>
      <trackRevisions>false</trackRevisions>
    </reviewItem>
    <reviewItem>
      <errorID>3a261e65-f821-4e67-8f10-d270fc348b57</errorID>
      <errorWord>&gt;</errorWord>
      <group>L1_Punc</group>
      <groupName>标点问题</groupName>
      <ability>L2_Punc</ability>
      <abilityName>标点符号检查</abilityName>
      <candidateList/>
      <explain/>
      <paraID>2D0277E0</paraID>
      <start>0</start>
      <end>1</end>
      <status>ignored</status>
      <modifiedWord/>
      <trackRevisions>false</trackRevisions>
    </reviewItem>
    <reviewItem>
      <errorID>d09ed511-ce62-4c5e-89dc-e9870a7c24f5</errorID>
      <errorWord>准</errorWord>
      <group>L1_Word</group>
      <groupName>字词问题</groupName>
      <ability>L2_Typo</ability>
      <abilityName>字词错误</abilityName>
      <candidateList>
        <item>准化</item>
      </candidateList>
      <explain/>
      <paraID>3B686D63</paraID>
      <start>31</start>
      <end>32</end>
      <status>ignored</status>
      <modifiedWord/>
      <trackRevisions>false</trackRevisions>
    </reviewItem>
    <reviewItem>
      <errorID>2261864e-0dcf-4465-849e-b2f1a41981e8</errorID>
      <errorWord>蛋白氨基酸</errorWord>
      <group>L1_Knowledge</group>
      <groupName>知识性问题</groupName>
      <ability>L2_Term</ability>
      <abilityName>专业术语</abilityName>
      <candidateList>
        <item>精氨酸</item>
      </candidateList>
      <explain>医学名词[蛋白氨基酸]为不规范表述或旧称，其规范书面表述为[精氨酸]。</explain>
      <paraID>7A2BB012</paraID>
      <start>102</start>
      <end>107</end>
      <status>ignored</status>
      <modifiedWord/>
      <trackRevisions>false</trackRevisions>
    </reviewItem>
    <reviewItem>
      <errorID>90d0d27d-626b-4ade-a902-dd3483ab766b</errorID>
      <errorWord>-</errorWord>
      <group>L1_Format</group>
      <groupName>格式问题</groupName>
      <ability>L2_HalfPunc</ability>
      <abilityName>全半角检查</abilityName>
      <candidateList>
        <item>－</item>
      </candidateList>
      <explain>文本全半角错误。</explain>
      <paraID>4AE1EC96</paraID>
      <start>222</start>
      <end>223</end>
      <status>modified</status>
      <modifiedWord>－</modifiedWord>
      <trackRevisions>false</trackRevisions>
    </reviewItem>
    <reviewItem>
      <errorID>10cba4e9-e91c-4a16-b769-34ed0d3d4783</errorID>
      <errorWord>-</errorWord>
      <group>L1_Format</group>
      <groupName>格式问题</groupName>
      <ability>L2_HalfPunc</ability>
      <abilityName>全半角检查</abilityName>
      <candidateList>
        <item>－</item>
      </candidateList>
      <explain>文本全半角错误。</explain>
      <paraID>4AE1EC96</paraID>
      <start>227</start>
      <end>228</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6556ba-6a43-4d06-af06-5839941e305e}">
  <ds:schemaRefs/>
</ds:datastoreItem>
</file>

<file path=docProps/app.xml><?xml version="1.0" encoding="utf-8"?>
<Properties xmlns="http://schemas.openxmlformats.org/officeDocument/2006/extended-properties" xmlns:vt="http://schemas.openxmlformats.org/officeDocument/2006/docPropsVTypes">
  <Pages>69</Pages>
  <Words>5239</Words>
  <Characters>6843</Characters>
  <Lines>0</Lines>
  <Paragraphs>0</Paragraphs>
  <TotalTime>8</TotalTime>
  <ScaleCrop>false</ScaleCrop>
  <LinksUpToDate>false</LinksUpToDate>
  <CharactersWithSpaces>7001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2023-06-11T12:25:00Z</dcterms:created>
  <dc:creator>PC202206</dc:creator>
  <cp:lastModifiedBy>大白..</cp:lastModifiedBy>
  <cp:lastPrinted>2026-03-25T02:28:00Z</cp:lastPrinted>
  <dcterms:modified xsi:type="dcterms:W3CDTF">2026-04-24T08:07:37Z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8C26B729250B4801ABBCA9EC42A53CA6_13</vt:lpwstr>
  </property>
  <property fmtid="{D5CDD505-2E9C-101B-9397-08002B2CF9AE}" pid="4" name="KSOTemplateDocerSaveRecord">
    <vt:lpwstr>eyJoZGlkIjoiNmQwMjA5ZDE0YzliNWFjZTQzMTdhY2VhM2VlODBiOTUiLCJ1c2VySWQiOiI0NDk0NDY5OTcifQ==</vt:lpwstr>
  </property>
</Properties>
</file>