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D0619F">
      <w:pPr>
        <w:spacing w:before="182" w:line="360" w:lineRule="auto"/>
        <w:ind w:left="28" w:right="79"/>
        <w:jc w:val="center"/>
        <w:rPr>
          <w:lang w:eastAsia="zh-CN"/>
        </w:rPr>
      </w:pPr>
      <w:bookmarkStart w:id="0" w:name="_Hlk175822851"/>
      <w:bookmarkEnd w:id="0"/>
    </w:p>
    <w:p w14:paraId="6363E5E9">
      <w:pPr>
        <w:spacing w:before="182" w:line="360" w:lineRule="auto"/>
        <w:ind w:left="28" w:right="79"/>
        <w:jc w:val="center"/>
        <w:rPr>
          <w:b/>
          <w:bCs/>
          <w:sz w:val="44"/>
          <w:szCs w:val="44"/>
          <w:lang w:eastAsia="zh-CN"/>
        </w:rPr>
      </w:pPr>
      <w:r>
        <w:rPr>
          <w:rFonts w:hint="eastAsia"/>
          <w:b/>
          <w:bCs/>
          <w:sz w:val="44"/>
          <w:szCs w:val="44"/>
          <w:lang w:eastAsia="zh-CN"/>
        </w:rPr>
        <w:t>夹江县</w:t>
      </w:r>
      <w:r>
        <w:rPr>
          <w:b/>
          <w:bCs/>
          <w:sz w:val="44"/>
          <w:szCs w:val="44"/>
          <w:lang w:eastAsia="zh-CN"/>
        </w:rPr>
        <w:t>建筑垃圾污染环境防治</w:t>
      </w:r>
    </w:p>
    <w:p w14:paraId="32829DD1">
      <w:pPr>
        <w:spacing w:before="182" w:line="360" w:lineRule="auto"/>
        <w:ind w:left="28" w:right="79"/>
        <w:jc w:val="center"/>
        <w:rPr>
          <w:b/>
          <w:bCs/>
          <w:sz w:val="44"/>
          <w:szCs w:val="44"/>
          <w:lang w:eastAsia="zh-CN"/>
        </w:rPr>
      </w:pPr>
      <w:r>
        <w:rPr>
          <w:b/>
          <w:bCs/>
          <w:sz w:val="44"/>
          <w:szCs w:val="44"/>
          <w:lang w:eastAsia="zh-CN"/>
        </w:rPr>
        <w:t>专项规划</w:t>
      </w:r>
      <w:r>
        <w:rPr>
          <w:rFonts w:hint="eastAsia" w:ascii="方正小标宋简体" w:hAnsi="方正小标宋简体" w:eastAsia="方正小标宋简体" w:cs="方正小标宋简体"/>
          <w:sz w:val="44"/>
          <w:szCs w:val="44"/>
          <w:lang w:eastAsia="zh-CN"/>
        </w:rPr>
        <w:t>（征求意见稿）</w:t>
      </w:r>
    </w:p>
    <w:p w14:paraId="3FC0CF63">
      <w:pPr>
        <w:spacing w:before="182" w:line="360" w:lineRule="auto"/>
        <w:ind w:left="28" w:right="79"/>
        <w:jc w:val="center"/>
        <w:rPr>
          <w:b/>
          <w:bCs/>
          <w:sz w:val="44"/>
          <w:szCs w:val="44"/>
          <w:lang w:eastAsia="zh-CN"/>
        </w:rPr>
      </w:pPr>
    </w:p>
    <w:p w14:paraId="687829DC">
      <w:pPr>
        <w:spacing w:before="182" w:line="360" w:lineRule="auto"/>
        <w:ind w:left="28" w:right="79"/>
        <w:jc w:val="center"/>
        <w:rPr>
          <w:b/>
          <w:bCs/>
          <w:sz w:val="44"/>
          <w:szCs w:val="44"/>
          <w:lang w:eastAsia="zh-CN"/>
        </w:rPr>
      </w:pPr>
    </w:p>
    <w:p w14:paraId="1E0A2AA4">
      <w:pPr>
        <w:spacing w:before="182" w:line="360" w:lineRule="auto"/>
        <w:ind w:left="28" w:right="79"/>
        <w:jc w:val="center"/>
        <w:rPr>
          <w:b/>
          <w:bCs/>
          <w:sz w:val="44"/>
          <w:szCs w:val="44"/>
          <w:lang w:eastAsia="zh-CN"/>
        </w:rPr>
      </w:pPr>
    </w:p>
    <w:p w14:paraId="65793371">
      <w:pPr>
        <w:spacing w:before="182" w:line="360" w:lineRule="auto"/>
        <w:ind w:left="28" w:right="79"/>
        <w:jc w:val="center"/>
        <w:rPr>
          <w:b/>
          <w:bCs/>
          <w:sz w:val="30"/>
          <w:szCs w:val="30"/>
          <w:lang w:eastAsia="zh-CN"/>
        </w:rPr>
      </w:pPr>
    </w:p>
    <w:p w14:paraId="1A0CAF9E">
      <w:pPr>
        <w:spacing w:before="182" w:line="360" w:lineRule="auto"/>
        <w:ind w:left="28" w:right="79"/>
        <w:jc w:val="center"/>
        <w:rPr>
          <w:b/>
          <w:bCs/>
          <w:sz w:val="30"/>
          <w:szCs w:val="30"/>
          <w:lang w:eastAsia="zh-CN"/>
        </w:rPr>
      </w:pPr>
    </w:p>
    <w:p w14:paraId="3F5AAF38">
      <w:pPr>
        <w:spacing w:before="182" w:line="360" w:lineRule="auto"/>
        <w:ind w:left="28" w:right="79"/>
        <w:jc w:val="center"/>
        <w:rPr>
          <w:b/>
          <w:bCs/>
          <w:sz w:val="30"/>
          <w:szCs w:val="30"/>
          <w:lang w:eastAsia="zh-CN"/>
        </w:rPr>
      </w:pPr>
    </w:p>
    <w:p w14:paraId="5D0F369B">
      <w:pPr>
        <w:spacing w:before="182" w:line="360" w:lineRule="auto"/>
        <w:ind w:left="28" w:right="79"/>
        <w:jc w:val="center"/>
        <w:rPr>
          <w:b/>
          <w:bCs/>
          <w:sz w:val="30"/>
          <w:szCs w:val="30"/>
          <w:lang w:eastAsia="zh-CN"/>
        </w:rPr>
      </w:pPr>
    </w:p>
    <w:p w14:paraId="67D29F2C">
      <w:pPr>
        <w:spacing w:before="182" w:line="360" w:lineRule="auto"/>
        <w:ind w:left="28" w:right="79"/>
        <w:jc w:val="center"/>
        <w:rPr>
          <w:b/>
          <w:bCs/>
          <w:sz w:val="30"/>
          <w:szCs w:val="30"/>
          <w:lang w:eastAsia="zh-CN"/>
        </w:rPr>
      </w:pPr>
    </w:p>
    <w:p w14:paraId="7C538B53">
      <w:pPr>
        <w:spacing w:before="182" w:line="360" w:lineRule="auto"/>
        <w:ind w:left="28" w:right="79"/>
        <w:jc w:val="center"/>
        <w:rPr>
          <w:b/>
          <w:bCs/>
          <w:sz w:val="30"/>
          <w:szCs w:val="30"/>
          <w:lang w:eastAsia="zh-CN"/>
        </w:rPr>
      </w:pPr>
    </w:p>
    <w:p w14:paraId="49AA8FC3">
      <w:pPr>
        <w:spacing w:before="182" w:line="360" w:lineRule="auto"/>
        <w:ind w:left="28" w:right="79"/>
        <w:jc w:val="center"/>
        <w:rPr>
          <w:b/>
          <w:bCs/>
          <w:sz w:val="30"/>
          <w:szCs w:val="30"/>
          <w:lang w:eastAsia="zh-CN"/>
        </w:rPr>
      </w:pPr>
    </w:p>
    <w:p w14:paraId="53FCAB35">
      <w:pPr>
        <w:spacing w:before="182" w:line="360" w:lineRule="auto"/>
        <w:ind w:left="28" w:right="79"/>
        <w:jc w:val="center"/>
        <w:rPr>
          <w:b/>
          <w:bCs/>
          <w:sz w:val="30"/>
          <w:szCs w:val="30"/>
          <w:lang w:eastAsia="zh-CN"/>
        </w:rPr>
      </w:pPr>
    </w:p>
    <w:p w14:paraId="1B07CDDF">
      <w:pPr>
        <w:spacing w:before="182" w:line="360" w:lineRule="auto"/>
        <w:ind w:left="28" w:right="79"/>
        <w:jc w:val="center"/>
        <w:rPr>
          <w:b/>
          <w:bCs/>
          <w:sz w:val="30"/>
          <w:szCs w:val="30"/>
          <w:lang w:eastAsia="zh-CN"/>
        </w:rPr>
      </w:pPr>
    </w:p>
    <w:p w14:paraId="45767DEC">
      <w:pPr>
        <w:spacing w:before="182" w:line="360" w:lineRule="auto"/>
        <w:ind w:left="28" w:right="79"/>
        <w:jc w:val="center"/>
        <w:rPr>
          <w:b/>
          <w:bCs/>
          <w:sz w:val="30"/>
          <w:szCs w:val="30"/>
          <w:lang w:eastAsia="zh-CN"/>
        </w:rPr>
      </w:pPr>
    </w:p>
    <w:p w14:paraId="6AF3FB24">
      <w:pPr>
        <w:spacing w:before="182" w:line="360" w:lineRule="auto"/>
        <w:ind w:left="28" w:right="79"/>
        <w:jc w:val="center"/>
        <w:rPr>
          <w:b/>
          <w:bCs/>
          <w:sz w:val="30"/>
          <w:szCs w:val="30"/>
          <w:lang w:eastAsia="zh-CN"/>
        </w:rPr>
      </w:pPr>
    </w:p>
    <w:p w14:paraId="4EFD24D2">
      <w:pPr>
        <w:spacing w:before="182" w:line="360" w:lineRule="auto"/>
        <w:ind w:right="79"/>
        <w:rPr>
          <w:b/>
          <w:bCs/>
          <w:sz w:val="30"/>
          <w:szCs w:val="30"/>
          <w:lang w:eastAsia="zh-CN"/>
        </w:rPr>
      </w:pPr>
    </w:p>
    <w:p w14:paraId="602BDB40">
      <w:pPr>
        <w:pStyle w:val="8"/>
        <w:spacing w:before="182" w:line="360" w:lineRule="auto"/>
        <w:ind w:left="28" w:right="79"/>
        <w:jc w:val="center"/>
        <w:outlineLvl w:val="0"/>
        <w:rPr>
          <w:rFonts w:hint="eastAsia"/>
          <w:b/>
          <w:bCs/>
          <w:spacing w:val="-5"/>
          <w:sz w:val="31"/>
          <w:szCs w:val="31"/>
          <w:lang w:eastAsia="zh-CN"/>
        </w:rPr>
      </w:pPr>
      <w:r>
        <w:rPr>
          <w:rFonts w:hint="eastAsia"/>
          <w:b/>
          <w:bCs/>
          <w:spacing w:val="-5"/>
          <w:sz w:val="31"/>
          <w:szCs w:val="31"/>
          <w:lang w:eastAsia="zh-CN"/>
        </w:rPr>
        <w:t>目录</w:t>
      </w:r>
    </w:p>
    <w:p w14:paraId="2811B97C">
      <w:pPr>
        <w:spacing w:line="360" w:lineRule="auto"/>
        <w:rPr>
          <w:lang w:eastAsia="zh-CN"/>
        </w:rPr>
      </w:pPr>
    </w:p>
    <w:sdt>
      <w:sdtPr>
        <w:rPr>
          <w:rFonts w:ascii="宋体" w:hAnsi="宋体" w:eastAsia="宋体" w:cs="Arial"/>
          <w:snapToGrid w:val="0"/>
          <w:color w:val="000000"/>
          <w:sz w:val="21"/>
          <w:szCs w:val="21"/>
          <w:lang w:eastAsia="en-US"/>
        </w:rPr>
        <w:id w:val="-2053141996"/>
        <w:docPartObj>
          <w:docPartGallery w:val="Table of Contents"/>
          <w:docPartUnique/>
        </w:docPartObj>
      </w:sdtPr>
      <w:sdtEndPr>
        <w:rPr>
          <w:rFonts w:ascii="Arial" w:hAnsi="Arial" w:cs="Arial" w:eastAsiaTheme="minorEastAsia"/>
          <w:snapToGrid w:val="0"/>
          <w:color w:val="000000"/>
          <w:sz w:val="21"/>
          <w:szCs w:val="21"/>
          <w:lang w:val="zh-CN" w:eastAsia="en-US"/>
        </w:rPr>
      </w:sdtEndPr>
      <w:sdtContent>
        <w:p w14:paraId="779FC8C8">
          <w:pPr>
            <w:pStyle w:val="16"/>
            <w:tabs>
              <w:tab w:val="right" w:leader="dot" w:pos="9430"/>
            </w:tabs>
            <w:rPr>
              <w:rFonts w:hint="eastAsia" w:ascii="宋体" w:hAnsi="宋体" w:eastAsia="宋体" w:cstheme="minorBidi"/>
              <w:kern w:val="2"/>
              <w:sz w:val="21"/>
              <w14:ligatures w14:val="standardContextual"/>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"_Toc186468098" </w:instrText>
          </w:r>
          <w:r>
            <w:fldChar w:fldCharType="separate"/>
          </w:r>
          <w:r>
            <w:rPr>
              <w:rStyle w:val="27"/>
              <w:rFonts w:hint="eastAsia" w:ascii="宋体" w:hAnsi="宋体" w:eastAsia="宋体" w:cs="黑体"/>
              <w:spacing w:val="7"/>
            </w:rPr>
            <w:t>第一章  规划背景</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_Toc186468098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- 4 -</w:t>
          </w:r>
          <w:r>
            <w:rPr>
              <w:rFonts w:hint="eastAsia" w:ascii="宋体" w:hAnsi="宋体" w:eastAsia="宋体"/>
            </w:rPr>
            <w:fldChar w:fldCharType="end"/>
          </w:r>
          <w:r>
            <w:rPr>
              <w:rFonts w:hint="eastAsia" w:ascii="宋体" w:hAnsi="宋体" w:eastAsia="宋体"/>
            </w:rPr>
            <w:fldChar w:fldCharType="end"/>
          </w:r>
        </w:p>
        <w:p w14:paraId="47E68FA0">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"_Toc186468099" </w:instrText>
          </w:r>
          <w:r>
            <w:fldChar w:fldCharType="separate"/>
          </w:r>
          <w:r>
            <w:rPr>
              <w:rStyle w:val="27"/>
              <w:rFonts w:hint="eastAsia" w:ascii="宋体" w:hAnsi="宋体" w:eastAsia="宋体"/>
              <w:spacing w:val="-4"/>
            </w:rPr>
            <w:t>第一节 政策背景</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_Toc186468099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- 4 -</w:t>
          </w:r>
          <w:r>
            <w:rPr>
              <w:rFonts w:hint="eastAsia" w:ascii="宋体" w:hAnsi="宋体" w:eastAsia="宋体"/>
            </w:rPr>
            <w:fldChar w:fldCharType="end"/>
          </w:r>
          <w:r>
            <w:rPr>
              <w:rFonts w:hint="eastAsia" w:ascii="宋体" w:hAnsi="宋体" w:eastAsia="宋体"/>
            </w:rPr>
            <w:fldChar w:fldCharType="end"/>
          </w:r>
        </w:p>
        <w:p w14:paraId="7320C769">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"_Toc186468100" </w:instrText>
          </w:r>
          <w:r>
            <w:fldChar w:fldCharType="separate"/>
          </w:r>
          <w:r>
            <w:rPr>
              <w:rStyle w:val="27"/>
              <w:rFonts w:hint="eastAsia" w:ascii="宋体" w:hAnsi="宋体" w:eastAsia="宋体"/>
              <w:spacing w:val="-4"/>
            </w:rPr>
            <w:t>第二节 城市概况</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_Toc186468100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- 4 -</w:t>
          </w:r>
          <w:r>
            <w:rPr>
              <w:rFonts w:hint="eastAsia" w:ascii="宋体" w:hAnsi="宋体" w:eastAsia="宋体"/>
            </w:rPr>
            <w:fldChar w:fldCharType="end"/>
          </w:r>
          <w:r>
            <w:rPr>
              <w:rFonts w:hint="eastAsia" w:ascii="宋体" w:hAnsi="宋体" w:eastAsia="宋体"/>
            </w:rPr>
            <w:fldChar w:fldCharType="end"/>
          </w:r>
        </w:p>
        <w:p w14:paraId="4B8F02A0">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"_Toc186468101" </w:instrText>
          </w:r>
          <w:r>
            <w:fldChar w:fldCharType="separate"/>
          </w:r>
          <w:r>
            <w:rPr>
              <w:rStyle w:val="27"/>
              <w:rFonts w:hint="eastAsia" w:ascii="宋体" w:hAnsi="宋体" w:eastAsia="宋体"/>
              <w:spacing w:val="-4"/>
            </w:rPr>
            <w:t>第三节 上位及相关规划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_Toc186468101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- 6 -</w:t>
          </w:r>
          <w:r>
            <w:rPr>
              <w:rFonts w:hint="eastAsia" w:ascii="宋体" w:hAnsi="宋体" w:eastAsia="宋体"/>
            </w:rPr>
            <w:fldChar w:fldCharType="end"/>
          </w:r>
          <w:r>
            <w:rPr>
              <w:rFonts w:hint="eastAsia" w:ascii="宋体" w:hAnsi="宋体" w:eastAsia="宋体"/>
            </w:rPr>
            <w:fldChar w:fldCharType="end"/>
          </w:r>
        </w:p>
        <w:p w14:paraId="48649B27">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"_Toc186468102" </w:instrText>
          </w:r>
          <w:r>
            <w:fldChar w:fldCharType="separate"/>
          </w:r>
          <w:r>
            <w:rPr>
              <w:rStyle w:val="27"/>
              <w:rFonts w:hint="eastAsia" w:ascii="宋体" w:hAnsi="宋体" w:eastAsia="宋体"/>
              <w:spacing w:val="-4"/>
            </w:rPr>
            <w:t>第四节 建筑垃圾现状</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_Toc186468102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- 7 -</w:t>
          </w:r>
          <w:r>
            <w:rPr>
              <w:rFonts w:hint="eastAsia" w:ascii="宋体" w:hAnsi="宋体" w:eastAsia="宋体"/>
            </w:rPr>
            <w:fldChar w:fldCharType="end"/>
          </w:r>
          <w:r>
            <w:rPr>
              <w:rFonts w:hint="eastAsia" w:ascii="宋体" w:hAnsi="宋体" w:eastAsia="宋体"/>
            </w:rPr>
            <w:fldChar w:fldCharType="end"/>
          </w:r>
        </w:p>
        <w:p w14:paraId="56A0F7A4">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"_Toc186468103" </w:instrText>
          </w:r>
          <w:r>
            <w:fldChar w:fldCharType="separate"/>
          </w:r>
          <w:r>
            <w:rPr>
              <w:rStyle w:val="27"/>
              <w:rFonts w:hint="eastAsia" w:ascii="宋体" w:hAnsi="宋体" w:eastAsia="宋体"/>
              <w:spacing w:val="-4"/>
            </w:rPr>
            <w:t>第五节 产业发展现状</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_Toc186468103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- 8 -</w:t>
          </w:r>
          <w:r>
            <w:rPr>
              <w:rFonts w:hint="eastAsia" w:ascii="宋体" w:hAnsi="宋体" w:eastAsia="宋体"/>
            </w:rPr>
            <w:fldChar w:fldCharType="end"/>
          </w:r>
          <w:r>
            <w:rPr>
              <w:rFonts w:hint="eastAsia" w:ascii="宋体" w:hAnsi="宋体" w:eastAsia="宋体"/>
            </w:rPr>
            <w:fldChar w:fldCharType="end"/>
          </w:r>
        </w:p>
        <w:p w14:paraId="78492B90">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"_Toc186468104" </w:instrText>
          </w:r>
          <w:r>
            <w:fldChar w:fldCharType="separate"/>
          </w:r>
          <w:r>
            <w:rPr>
              <w:rStyle w:val="27"/>
              <w:rFonts w:hint="eastAsia" w:ascii="宋体" w:hAnsi="宋体" w:eastAsia="宋体"/>
              <w:spacing w:val="-4"/>
            </w:rPr>
            <w:t>第六节 现状主要问题</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_Toc186468104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- 8 -</w:t>
          </w:r>
          <w:r>
            <w:rPr>
              <w:rFonts w:hint="eastAsia" w:ascii="宋体" w:hAnsi="宋体" w:eastAsia="宋体"/>
            </w:rPr>
            <w:fldChar w:fldCharType="end"/>
          </w:r>
          <w:r>
            <w:rPr>
              <w:rFonts w:hint="eastAsia" w:ascii="宋体" w:hAnsi="宋体" w:eastAsia="宋体"/>
            </w:rPr>
            <w:fldChar w:fldCharType="end"/>
          </w:r>
        </w:p>
        <w:p w14:paraId="2A191D1D">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"_Toc186468105" </w:instrText>
          </w:r>
          <w:r>
            <w:fldChar w:fldCharType="separate"/>
          </w:r>
          <w:r>
            <w:rPr>
              <w:rStyle w:val="27"/>
              <w:rFonts w:hint="eastAsia" w:ascii="宋体" w:hAnsi="宋体" w:eastAsia="宋体"/>
              <w:spacing w:val="-5"/>
            </w:rPr>
            <w:t>第二章</w:t>
          </w:r>
          <w:r>
            <w:rPr>
              <w:rStyle w:val="27"/>
              <w:rFonts w:hint="eastAsia" w:ascii="宋体" w:hAnsi="宋体" w:eastAsia="宋体"/>
              <w:spacing w:val="6"/>
            </w:rPr>
            <w:t xml:space="preserve">  </w:t>
          </w:r>
          <w:r>
            <w:rPr>
              <w:rStyle w:val="27"/>
              <w:rFonts w:hint="eastAsia" w:ascii="宋体" w:hAnsi="宋体" w:eastAsia="宋体" w:cs="黑体"/>
              <w:spacing w:val="7"/>
            </w:rPr>
            <w:t>规划总则</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_Toc186468105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- 10 -</w:t>
          </w:r>
          <w:r>
            <w:rPr>
              <w:rFonts w:hint="eastAsia" w:ascii="宋体" w:hAnsi="宋体" w:eastAsia="宋体"/>
            </w:rPr>
            <w:fldChar w:fldCharType="end"/>
          </w:r>
          <w:r>
            <w:rPr>
              <w:rFonts w:hint="eastAsia" w:ascii="宋体" w:hAnsi="宋体" w:eastAsia="宋体"/>
            </w:rPr>
            <w:fldChar w:fldCharType="end"/>
          </w:r>
        </w:p>
        <w:p w14:paraId="207EA74C">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"_Toc186468106" </w:instrText>
          </w:r>
          <w:r>
            <w:fldChar w:fldCharType="separate"/>
          </w:r>
          <w:r>
            <w:rPr>
              <w:rStyle w:val="27"/>
              <w:rFonts w:hint="eastAsia" w:ascii="宋体" w:hAnsi="宋体" w:eastAsia="宋体"/>
              <w:spacing w:val="-4"/>
            </w:rPr>
            <w:t>第一节 指导思想</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_Toc186468106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- 10 -</w:t>
          </w:r>
          <w:r>
            <w:rPr>
              <w:rFonts w:hint="eastAsia" w:ascii="宋体" w:hAnsi="宋体" w:eastAsia="宋体"/>
            </w:rPr>
            <w:fldChar w:fldCharType="end"/>
          </w:r>
          <w:r>
            <w:rPr>
              <w:rFonts w:hint="eastAsia" w:ascii="宋体" w:hAnsi="宋体" w:eastAsia="宋体"/>
            </w:rPr>
            <w:fldChar w:fldCharType="end"/>
          </w:r>
        </w:p>
        <w:p w14:paraId="35E4C635">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"_Toc186468107" </w:instrText>
          </w:r>
          <w:r>
            <w:fldChar w:fldCharType="separate"/>
          </w:r>
          <w:r>
            <w:rPr>
              <w:rStyle w:val="27"/>
              <w:rFonts w:hint="eastAsia" w:ascii="宋体" w:hAnsi="宋体" w:eastAsia="宋体"/>
              <w:spacing w:val="-4"/>
            </w:rPr>
            <w:t>第二节 规划原则</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_Toc186468107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- 10 -</w:t>
          </w:r>
          <w:r>
            <w:rPr>
              <w:rFonts w:hint="eastAsia" w:ascii="宋体" w:hAnsi="宋体" w:eastAsia="宋体"/>
            </w:rPr>
            <w:fldChar w:fldCharType="end"/>
          </w:r>
          <w:r>
            <w:rPr>
              <w:rFonts w:hint="eastAsia" w:ascii="宋体" w:hAnsi="宋体" w:eastAsia="宋体"/>
            </w:rPr>
            <w:fldChar w:fldCharType="end"/>
          </w:r>
        </w:p>
        <w:p w14:paraId="2494B08E">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"_Toc186468108" </w:instrText>
          </w:r>
          <w:r>
            <w:fldChar w:fldCharType="separate"/>
          </w:r>
          <w:r>
            <w:rPr>
              <w:rStyle w:val="27"/>
              <w:rFonts w:hint="eastAsia" w:ascii="宋体" w:hAnsi="宋体" w:eastAsia="宋体"/>
              <w:spacing w:val="-4"/>
            </w:rPr>
            <w:t>第三节 规划依据</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_Toc186468108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- 11 -</w:t>
          </w:r>
          <w:r>
            <w:rPr>
              <w:rFonts w:hint="eastAsia" w:ascii="宋体" w:hAnsi="宋体" w:eastAsia="宋体"/>
            </w:rPr>
            <w:fldChar w:fldCharType="end"/>
          </w:r>
          <w:r>
            <w:rPr>
              <w:rFonts w:hint="eastAsia" w:ascii="宋体" w:hAnsi="宋体" w:eastAsia="宋体"/>
            </w:rPr>
            <w:fldChar w:fldCharType="end"/>
          </w:r>
        </w:p>
        <w:p w14:paraId="7745EE21">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"_Toc186468109" </w:instrText>
          </w:r>
          <w:r>
            <w:fldChar w:fldCharType="separate"/>
          </w:r>
          <w:r>
            <w:rPr>
              <w:rStyle w:val="27"/>
              <w:rFonts w:hint="eastAsia" w:ascii="宋体" w:hAnsi="宋体" w:eastAsia="宋体"/>
              <w:spacing w:val="-4"/>
            </w:rPr>
            <w:t>第四节 规划期限和范围</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_Toc186468109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- 15 -</w:t>
          </w:r>
          <w:r>
            <w:rPr>
              <w:rFonts w:hint="eastAsia" w:ascii="宋体" w:hAnsi="宋体" w:eastAsia="宋体"/>
            </w:rPr>
            <w:fldChar w:fldCharType="end"/>
          </w:r>
          <w:r>
            <w:rPr>
              <w:rFonts w:hint="eastAsia" w:ascii="宋体" w:hAnsi="宋体" w:eastAsia="宋体"/>
            </w:rPr>
            <w:fldChar w:fldCharType="end"/>
          </w:r>
        </w:p>
        <w:p w14:paraId="50CD712E">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"_Toc186468110" </w:instrText>
          </w:r>
          <w:r>
            <w:fldChar w:fldCharType="separate"/>
          </w:r>
          <w:r>
            <w:rPr>
              <w:rStyle w:val="27"/>
              <w:rFonts w:hint="eastAsia" w:ascii="宋体" w:hAnsi="宋体" w:eastAsia="宋体"/>
              <w:spacing w:val="-5"/>
            </w:rPr>
            <w:t xml:space="preserve">第三章 </w:t>
          </w:r>
          <w:r>
            <w:rPr>
              <w:rStyle w:val="27"/>
              <w:rFonts w:hint="eastAsia" w:ascii="宋体" w:hAnsi="宋体" w:eastAsia="宋体"/>
              <w:spacing w:val="6"/>
            </w:rPr>
            <w:t>规划目标</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_Toc186468110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- 16 -</w:t>
          </w:r>
          <w:r>
            <w:rPr>
              <w:rFonts w:hint="eastAsia" w:ascii="宋体" w:hAnsi="宋体" w:eastAsia="宋体"/>
            </w:rPr>
            <w:fldChar w:fldCharType="end"/>
          </w:r>
          <w:r>
            <w:rPr>
              <w:rFonts w:hint="eastAsia" w:ascii="宋体" w:hAnsi="宋体" w:eastAsia="宋体"/>
            </w:rPr>
            <w:fldChar w:fldCharType="end"/>
          </w:r>
        </w:p>
        <w:p w14:paraId="747BE207">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"_Toc186468111" </w:instrText>
          </w:r>
          <w:r>
            <w:fldChar w:fldCharType="separate"/>
          </w:r>
          <w:r>
            <w:rPr>
              <w:rStyle w:val="27"/>
              <w:rFonts w:hint="eastAsia" w:ascii="宋体" w:hAnsi="宋体" w:eastAsia="宋体"/>
              <w:spacing w:val="-10"/>
            </w:rPr>
            <w:t>第一节 规划思路</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_Toc186468111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- 16 -</w:t>
          </w:r>
          <w:r>
            <w:rPr>
              <w:rFonts w:hint="eastAsia" w:ascii="宋体" w:hAnsi="宋体" w:eastAsia="宋体"/>
            </w:rPr>
            <w:fldChar w:fldCharType="end"/>
          </w:r>
          <w:r>
            <w:rPr>
              <w:rFonts w:hint="eastAsia" w:ascii="宋体" w:hAnsi="宋体" w:eastAsia="宋体"/>
            </w:rPr>
            <w:fldChar w:fldCharType="end"/>
          </w:r>
        </w:p>
        <w:p w14:paraId="4F9B0B19">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"_Toc186468112" </w:instrText>
          </w:r>
          <w:r>
            <w:fldChar w:fldCharType="separate"/>
          </w:r>
          <w:r>
            <w:rPr>
              <w:rStyle w:val="27"/>
              <w:rFonts w:hint="eastAsia" w:ascii="宋体" w:hAnsi="宋体" w:eastAsia="宋体"/>
              <w:spacing w:val="-4"/>
            </w:rPr>
            <w:t>第二节 规划目标</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_Toc186468112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- 16 -</w:t>
          </w:r>
          <w:r>
            <w:rPr>
              <w:rFonts w:hint="eastAsia" w:ascii="宋体" w:hAnsi="宋体" w:eastAsia="宋体"/>
            </w:rPr>
            <w:fldChar w:fldCharType="end"/>
          </w:r>
          <w:r>
            <w:rPr>
              <w:rFonts w:hint="eastAsia" w:ascii="宋体" w:hAnsi="宋体" w:eastAsia="宋体"/>
            </w:rPr>
            <w:fldChar w:fldCharType="end"/>
          </w:r>
        </w:p>
        <w:p w14:paraId="0A058EEF">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"_Toc186468113" </w:instrText>
          </w:r>
          <w:r>
            <w:fldChar w:fldCharType="separate"/>
          </w:r>
          <w:r>
            <w:rPr>
              <w:rStyle w:val="27"/>
              <w:rFonts w:hint="eastAsia" w:ascii="宋体" w:hAnsi="宋体" w:eastAsia="宋体"/>
              <w:spacing w:val="-4"/>
            </w:rPr>
            <w:t>第三节 阶段目标</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_Toc186468113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- 17 -</w:t>
          </w:r>
          <w:r>
            <w:rPr>
              <w:rFonts w:hint="eastAsia" w:ascii="宋体" w:hAnsi="宋体" w:eastAsia="宋体"/>
            </w:rPr>
            <w:fldChar w:fldCharType="end"/>
          </w:r>
          <w:r>
            <w:rPr>
              <w:rFonts w:hint="eastAsia" w:ascii="宋体" w:hAnsi="宋体" w:eastAsia="宋体"/>
            </w:rPr>
            <w:fldChar w:fldCharType="end"/>
          </w:r>
        </w:p>
        <w:p w14:paraId="124919EE">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"_Toc186468114" </w:instrText>
          </w:r>
          <w:r>
            <w:fldChar w:fldCharType="separate"/>
          </w:r>
          <w:r>
            <w:rPr>
              <w:rStyle w:val="27"/>
              <w:rFonts w:hint="eastAsia" w:ascii="宋体" w:hAnsi="宋体" w:eastAsia="宋体"/>
              <w:spacing w:val="-4"/>
            </w:rPr>
            <w:t>第四节 规划指标</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_Toc186468114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- 18 -</w:t>
          </w:r>
          <w:r>
            <w:rPr>
              <w:rFonts w:hint="eastAsia" w:ascii="宋体" w:hAnsi="宋体" w:eastAsia="宋体"/>
            </w:rPr>
            <w:fldChar w:fldCharType="end"/>
          </w:r>
          <w:r>
            <w:rPr>
              <w:rFonts w:hint="eastAsia" w:ascii="宋体" w:hAnsi="宋体" w:eastAsia="宋体"/>
            </w:rPr>
            <w:fldChar w:fldCharType="end"/>
          </w:r>
        </w:p>
        <w:p w14:paraId="19746E4B">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"_Toc186468115" </w:instrText>
          </w:r>
          <w:r>
            <w:fldChar w:fldCharType="separate"/>
          </w:r>
          <w:r>
            <w:rPr>
              <w:rStyle w:val="27"/>
              <w:rFonts w:hint="eastAsia" w:ascii="宋体" w:hAnsi="宋体" w:eastAsia="宋体"/>
              <w:spacing w:val="-5"/>
            </w:rPr>
            <w:t>第</w:t>
          </w:r>
          <w:r>
            <w:rPr>
              <w:rStyle w:val="27"/>
              <w:rFonts w:hint="eastAsia" w:ascii="宋体" w:hAnsi="宋体" w:eastAsia="宋体" w:cs="黑体"/>
              <w:spacing w:val="7"/>
            </w:rPr>
            <w:t>四章  城市建筑垃圾发展预测</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_Toc186468115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- 20 -</w:t>
          </w:r>
          <w:r>
            <w:rPr>
              <w:rFonts w:hint="eastAsia" w:ascii="宋体" w:hAnsi="宋体" w:eastAsia="宋体"/>
            </w:rPr>
            <w:fldChar w:fldCharType="end"/>
          </w:r>
          <w:r>
            <w:rPr>
              <w:rFonts w:hint="eastAsia" w:ascii="宋体" w:hAnsi="宋体" w:eastAsia="宋体"/>
            </w:rPr>
            <w:fldChar w:fldCharType="end"/>
          </w:r>
        </w:p>
        <w:p w14:paraId="22B7FAE1">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"_Toc186468116" </w:instrText>
          </w:r>
          <w:r>
            <w:fldChar w:fldCharType="separate"/>
          </w:r>
          <w:r>
            <w:rPr>
              <w:rStyle w:val="27"/>
              <w:rFonts w:hint="eastAsia" w:ascii="宋体" w:hAnsi="宋体" w:eastAsia="宋体"/>
              <w:spacing w:val="-7"/>
            </w:rPr>
            <w:t>第一节</w:t>
          </w:r>
          <w:r>
            <w:rPr>
              <w:rStyle w:val="27"/>
              <w:rFonts w:hint="eastAsia" w:ascii="宋体" w:hAnsi="宋体" w:eastAsia="宋体"/>
              <w:spacing w:val="22"/>
            </w:rPr>
            <w:t xml:space="preserve"> </w:t>
          </w:r>
          <w:r>
            <w:rPr>
              <w:rStyle w:val="27"/>
              <w:rFonts w:hint="eastAsia" w:ascii="宋体" w:hAnsi="宋体" w:eastAsia="宋体"/>
              <w:spacing w:val="-7"/>
            </w:rPr>
            <w:t>产生量预测</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_Toc186468116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- 20 -</w:t>
          </w:r>
          <w:r>
            <w:rPr>
              <w:rFonts w:hint="eastAsia" w:ascii="宋体" w:hAnsi="宋体" w:eastAsia="宋体"/>
            </w:rPr>
            <w:fldChar w:fldCharType="end"/>
          </w:r>
          <w:r>
            <w:rPr>
              <w:rFonts w:hint="eastAsia" w:ascii="宋体" w:hAnsi="宋体" w:eastAsia="宋体"/>
            </w:rPr>
            <w:fldChar w:fldCharType="end"/>
          </w:r>
        </w:p>
        <w:p w14:paraId="07205618">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"_Toc186468117" </w:instrText>
          </w:r>
          <w:r>
            <w:fldChar w:fldCharType="separate"/>
          </w:r>
          <w:r>
            <w:rPr>
              <w:rStyle w:val="27"/>
              <w:rFonts w:hint="eastAsia" w:ascii="宋体" w:hAnsi="宋体" w:eastAsia="宋体"/>
              <w:spacing w:val="-3"/>
            </w:rPr>
            <w:t>第二节 处置量预测</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_Toc186468117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- 21 -</w:t>
          </w:r>
          <w:r>
            <w:rPr>
              <w:rFonts w:hint="eastAsia" w:ascii="宋体" w:hAnsi="宋体" w:eastAsia="宋体"/>
            </w:rPr>
            <w:fldChar w:fldCharType="end"/>
          </w:r>
          <w:r>
            <w:rPr>
              <w:rFonts w:hint="eastAsia" w:ascii="宋体" w:hAnsi="宋体" w:eastAsia="宋体"/>
            </w:rPr>
            <w:fldChar w:fldCharType="end"/>
          </w:r>
        </w:p>
        <w:p w14:paraId="7E938DB6">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"_Toc186468118" </w:instrText>
          </w:r>
          <w:r>
            <w:fldChar w:fldCharType="separate"/>
          </w:r>
          <w:r>
            <w:rPr>
              <w:rStyle w:val="27"/>
              <w:rFonts w:hint="eastAsia" w:ascii="宋体" w:hAnsi="宋体" w:eastAsia="宋体"/>
              <w:spacing w:val="-3"/>
            </w:rPr>
            <w:t>第三节 综合处置模式</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_Toc186468118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- 22 -</w:t>
          </w:r>
          <w:r>
            <w:rPr>
              <w:rFonts w:hint="eastAsia" w:ascii="宋体" w:hAnsi="宋体" w:eastAsia="宋体"/>
            </w:rPr>
            <w:fldChar w:fldCharType="end"/>
          </w:r>
          <w:r>
            <w:rPr>
              <w:rFonts w:hint="eastAsia" w:ascii="宋体" w:hAnsi="宋体" w:eastAsia="宋体"/>
            </w:rPr>
            <w:fldChar w:fldCharType="end"/>
          </w:r>
        </w:p>
        <w:p w14:paraId="7DB08BC1">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"_Toc186468119" </w:instrText>
          </w:r>
          <w:r>
            <w:fldChar w:fldCharType="separate"/>
          </w:r>
          <w:r>
            <w:rPr>
              <w:rStyle w:val="27"/>
              <w:rFonts w:hint="eastAsia" w:ascii="宋体" w:hAnsi="宋体" w:eastAsia="宋体"/>
              <w:spacing w:val="-5"/>
            </w:rPr>
            <w:t>第五章</w:t>
          </w:r>
          <w:r>
            <w:rPr>
              <w:rStyle w:val="27"/>
              <w:rFonts w:hint="eastAsia" w:ascii="宋体" w:hAnsi="宋体" w:eastAsia="宋体"/>
              <w:spacing w:val="5"/>
            </w:rPr>
            <w:t xml:space="preserve">  </w:t>
          </w:r>
          <w:r>
            <w:rPr>
              <w:rStyle w:val="27"/>
              <w:rFonts w:hint="eastAsia" w:ascii="宋体" w:hAnsi="宋体" w:eastAsia="宋体" w:cs="黑体"/>
              <w:spacing w:val="8"/>
            </w:rPr>
            <w:t>收集运输体系规划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_Toc186468119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- 24 -</w:t>
          </w:r>
          <w:r>
            <w:rPr>
              <w:rFonts w:hint="eastAsia" w:ascii="宋体" w:hAnsi="宋体" w:eastAsia="宋体"/>
            </w:rPr>
            <w:fldChar w:fldCharType="end"/>
          </w:r>
          <w:r>
            <w:rPr>
              <w:rFonts w:hint="eastAsia" w:ascii="宋体" w:hAnsi="宋体" w:eastAsia="宋体"/>
            </w:rPr>
            <w:fldChar w:fldCharType="end"/>
          </w:r>
        </w:p>
        <w:p w14:paraId="78EE6911">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"_Toc186468120" </w:instrText>
          </w:r>
          <w:r>
            <w:fldChar w:fldCharType="separate"/>
          </w:r>
          <w:r>
            <w:rPr>
              <w:rStyle w:val="27"/>
              <w:rFonts w:hint="eastAsia" w:ascii="宋体" w:hAnsi="宋体" w:eastAsia="宋体"/>
              <w:spacing w:val="-7"/>
            </w:rPr>
            <w:t>第一节</w:t>
          </w:r>
          <w:r>
            <w:rPr>
              <w:rStyle w:val="27"/>
              <w:rFonts w:hint="eastAsia" w:ascii="宋体" w:hAnsi="宋体" w:eastAsia="宋体"/>
              <w:spacing w:val="15"/>
            </w:rPr>
            <w:t xml:space="preserve"> </w:t>
          </w:r>
          <w:r>
            <w:rPr>
              <w:rStyle w:val="27"/>
              <w:rFonts w:hint="eastAsia" w:ascii="宋体" w:hAnsi="宋体" w:eastAsia="宋体"/>
              <w:spacing w:val="-7"/>
            </w:rPr>
            <w:t>分类收集规划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_Toc186468120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- 24 -</w:t>
          </w:r>
          <w:r>
            <w:rPr>
              <w:rFonts w:hint="eastAsia" w:ascii="宋体" w:hAnsi="宋体" w:eastAsia="宋体"/>
            </w:rPr>
            <w:fldChar w:fldCharType="end"/>
          </w:r>
          <w:r>
            <w:rPr>
              <w:rFonts w:hint="eastAsia" w:ascii="宋体" w:hAnsi="宋体" w:eastAsia="宋体"/>
            </w:rPr>
            <w:fldChar w:fldCharType="end"/>
          </w:r>
        </w:p>
        <w:p w14:paraId="6D41980D">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"_Toc186468121" </w:instrText>
          </w:r>
          <w:r>
            <w:fldChar w:fldCharType="separate"/>
          </w:r>
          <w:r>
            <w:rPr>
              <w:rStyle w:val="27"/>
              <w:rFonts w:hint="eastAsia" w:ascii="宋体" w:hAnsi="宋体" w:eastAsia="宋体"/>
              <w:spacing w:val="-7"/>
            </w:rPr>
            <w:t>第二节 收运设施</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_Toc186468121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- 26 -</w:t>
          </w:r>
          <w:r>
            <w:rPr>
              <w:rFonts w:hint="eastAsia" w:ascii="宋体" w:hAnsi="宋体" w:eastAsia="宋体"/>
            </w:rPr>
            <w:fldChar w:fldCharType="end"/>
          </w:r>
          <w:r>
            <w:rPr>
              <w:rFonts w:hint="eastAsia" w:ascii="宋体" w:hAnsi="宋体" w:eastAsia="宋体"/>
            </w:rPr>
            <w:fldChar w:fldCharType="end"/>
          </w:r>
        </w:p>
        <w:p w14:paraId="087313B3">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"_Toc186468122" </w:instrText>
          </w:r>
          <w:r>
            <w:fldChar w:fldCharType="separate"/>
          </w:r>
          <w:r>
            <w:rPr>
              <w:rStyle w:val="27"/>
              <w:rFonts w:hint="eastAsia" w:ascii="宋体" w:hAnsi="宋体" w:eastAsia="宋体"/>
              <w:spacing w:val="-7"/>
            </w:rPr>
            <w:t>第三节 收运车辆</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_Toc186468122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- 27 -</w:t>
          </w:r>
          <w:r>
            <w:rPr>
              <w:rFonts w:hint="eastAsia" w:ascii="宋体" w:hAnsi="宋体" w:eastAsia="宋体"/>
            </w:rPr>
            <w:fldChar w:fldCharType="end"/>
          </w:r>
          <w:r>
            <w:rPr>
              <w:rFonts w:hint="eastAsia" w:ascii="宋体" w:hAnsi="宋体" w:eastAsia="宋体"/>
            </w:rPr>
            <w:fldChar w:fldCharType="end"/>
          </w:r>
        </w:p>
        <w:p w14:paraId="41C77FF0">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"_Toc186468123" </w:instrText>
          </w:r>
          <w:r>
            <w:fldChar w:fldCharType="separate"/>
          </w:r>
          <w:r>
            <w:rPr>
              <w:rStyle w:val="27"/>
              <w:rFonts w:hint="eastAsia" w:ascii="宋体" w:hAnsi="宋体" w:eastAsia="宋体"/>
              <w:spacing w:val="-7"/>
            </w:rPr>
            <w:t>第四节 运输线路规划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_Toc186468123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- 28 -</w:t>
          </w:r>
          <w:r>
            <w:rPr>
              <w:rFonts w:hint="eastAsia" w:ascii="宋体" w:hAnsi="宋体" w:eastAsia="宋体"/>
            </w:rPr>
            <w:fldChar w:fldCharType="end"/>
          </w:r>
          <w:r>
            <w:rPr>
              <w:rFonts w:hint="eastAsia" w:ascii="宋体" w:hAnsi="宋体" w:eastAsia="宋体"/>
            </w:rPr>
            <w:fldChar w:fldCharType="end"/>
          </w:r>
        </w:p>
        <w:p w14:paraId="1D83DFB9">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"_Toc186468124" </w:instrText>
          </w:r>
          <w:r>
            <w:fldChar w:fldCharType="separate"/>
          </w:r>
          <w:r>
            <w:rPr>
              <w:rStyle w:val="27"/>
              <w:rFonts w:hint="eastAsia" w:ascii="宋体" w:hAnsi="宋体" w:eastAsia="宋体"/>
              <w:spacing w:val="-7"/>
            </w:rPr>
            <w:t>第五节 运输系统建设</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_Toc186468124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- 29 -</w:t>
          </w:r>
          <w:r>
            <w:rPr>
              <w:rFonts w:hint="eastAsia" w:ascii="宋体" w:hAnsi="宋体" w:eastAsia="宋体"/>
            </w:rPr>
            <w:fldChar w:fldCharType="end"/>
          </w:r>
          <w:r>
            <w:rPr>
              <w:rFonts w:hint="eastAsia" w:ascii="宋体" w:hAnsi="宋体" w:eastAsia="宋体"/>
            </w:rPr>
            <w:fldChar w:fldCharType="end"/>
          </w:r>
        </w:p>
        <w:p w14:paraId="672A8543">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"_Toc186468125" </w:instrText>
          </w:r>
          <w:r>
            <w:fldChar w:fldCharType="separate"/>
          </w:r>
          <w:r>
            <w:rPr>
              <w:rStyle w:val="27"/>
              <w:rFonts w:hint="eastAsia" w:ascii="宋体" w:hAnsi="宋体" w:eastAsia="宋体"/>
              <w:spacing w:val="-5"/>
            </w:rPr>
            <w:t xml:space="preserve">第六章  </w:t>
          </w:r>
          <w:r>
            <w:rPr>
              <w:rStyle w:val="27"/>
              <w:rFonts w:hint="eastAsia" w:ascii="宋体" w:hAnsi="宋体" w:eastAsia="宋体" w:cs="黑体"/>
              <w:spacing w:val="8"/>
            </w:rPr>
            <w:t>处置利用体系规划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_Toc186468125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- 31 -</w:t>
          </w:r>
          <w:r>
            <w:rPr>
              <w:rFonts w:hint="eastAsia" w:ascii="宋体" w:hAnsi="宋体" w:eastAsia="宋体"/>
            </w:rPr>
            <w:fldChar w:fldCharType="end"/>
          </w:r>
          <w:r>
            <w:rPr>
              <w:rFonts w:hint="eastAsia" w:ascii="宋体" w:hAnsi="宋体" w:eastAsia="宋体"/>
            </w:rPr>
            <w:fldChar w:fldCharType="end"/>
          </w:r>
        </w:p>
        <w:p w14:paraId="65473900">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"_Toc186468126" </w:instrText>
          </w:r>
          <w:r>
            <w:fldChar w:fldCharType="separate"/>
          </w:r>
          <w:r>
            <w:rPr>
              <w:rStyle w:val="27"/>
              <w:rFonts w:hint="eastAsia" w:ascii="宋体" w:hAnsi="宋体" w:eastAsia="宋体"/>
              <w:spacing w:val="-7"/>
            </w:rPr>
            <w:t>第一节 处置设施规划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_Toc186468126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- 31 -</w:t>
          </w:r>
          <w:r>
            <w:rPr>
              <w:rFonts w:hint="eastAsia" w:ascii="宋体" w:hAnsi="宋体" w:eastAsia="宋体"/>
            </w:rPr>
            <w:fldChar w:fldCharType="end"/>
          </w:r>
          <w:r>
            <w:rPr>
              <w:rFonts w:hint="eastAsia" w:ascii="宋体" w:hAnsi="宋体" w:eastAsia="宋体"/>
            </w:rPr>
            <w:fldChar w:fldCharType="end"/>
          </w:r>
        </w:p>
        <w:p w14:paraId="786290C9">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"_Toc186468127" </w:instrText>
          </w:r>
          <w:r>
            <w:fldChar w:fldCharType="separate"/>
          </w:r>
          <w:r>
            <w:rPr>
              <w:rStyle w:val="27"/>
              <w:rFonts w:hint="eastAsia" w:ascii="宋体" w:hAnsi="宋体" w:eastAsia="宋体"/>
              <w:spacing w:val="-7"/>
            </w:rPr>
            <w:t>第二节 技术路线</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_Toc186468127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- 31 -</w:t>
          </w:r>
          <w:r>
            <w:rPr>
              <w:rFonts w:hint="eastAsia" w:ascii="宋体" w:hAnsi="宋体" w:eastAsia="宋体"/>
            </w:rPr>
            <w:fldChar w:fldCharType="end"/>
          </w:r>
          <w:r>
            <w:rPr>
              <w:rFonts w:hint="eastAsia" w:ascii="宋体" w:hAnsi="宋体" w:eastAsia="宋体"/>
            </w:rPr>
            <w:fldChar w:fldCharType="end"/>
          </w:r>
        </w:p>
        <w:p w14:paraId="78595C69">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"_Toc186468128" </w:instrText>
          </w:r>
          <w:r>
            <w:fldChar w:fldCharType="separate"/>
          </w:r>
          <w:r>
            <w:rPr>
              <w:rStyle w:val="27"/>
              <w:rFonts w:hint="eastAsia" w:ascii="宋体" w:hAnsi="宋体" w:eastAsia="宋体"/>
              <w:spacing w:val="-7"/>
            </w:rPr>
            <w:t>第三节 处理方案</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_Toc186468128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- 34 -</w:t>
          </w:r>
          <w:r>
            <w:rPr>
              <w:rFonts w:hint="eastAsia" w:ascii="宋体" w:hAnsi="宋体" w:eastAsia="宋体"/>
            </w:rPr>
            <w:fldChar w:fldCharType="end"/>
          </w:r>
          <w:r>
            <w:rPr>
              <w:rFonts w:hint="eastAsia" w:ascii="宋体" w:hAnsi="宋体" w:eastAsia="宋体"/>
            </w:rPr>
            <w:fldChar w:fldCharType="end"/>
          </w:r>
        </w:p>
        <w:p w14:paraId="173B2FD8">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"_Toc186468129" </w:instrText>
          </w:r>
          <w:r>
            <w:fldChar w:fldCharType="separate"/>
          </w:r>
          <w:r>
            <w:rPr>
              <w:rStyle w:val="27"/>
              <w:rFonts w:hint="eastAsia" w:ascii="宋体" w:hAnsi="宋体" w:eastAsia="宋体"/>
              <w:spacing w:val="-7"/>
            </w:rPr>
            <w:t>第四节 资源化利用设施规划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_Toc186468129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- 35 -</w:t>
          </w:r>
          <w:r>
            <w:rPr>
              <w:rFonts w:hint="eastAsia" w:ascii="宋体" w:hAnsi="宋体" w:eastAsia="宋体"/>
            </w:rPr>
            <w:fldChar w:fldCharType="end"/>
          </w:r>
          <w:r>
            <w:rPr>
              <w:rFonts w:hint="eastAsia" w:ascii="宋体" w:hAnsi="宋体" w:eastAsia="宋体"/>
            </w:rPr>
            <w:fldChar w:fldCharType="end"/>
          </w:r>
        </w:p>
        <w:p w14:paraId="54A72325">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"_Toc186468130" </w:instrText>
          </w:r>
          <w:r>
            <w:fldChar w:fldCharType="separate"/>
          </w:r>
          <w:r>
            <w:rPr>
              <w:rStyle w:val="27"/>
              <w:rFonts w:hint="eastAsia" w:ascii="宋体" w:hAnsi="宋体" w:eastAsia="宋体"/>
              <w:spacing w:val="-5"/>
            </w:rPr>
            <w:t xml:space="preserve">第七章  </w:t>
          </w:r>
          <w:r>
            <w:rPr>
              <w:rStyle w:val="27"/>
              <w:rFonts w:hint="eastAsia" w:ascii="宋体" w:hAnsi="宋体" w:eastAsia="宋体" w:cs="黑体"/>
              <w:spacing w:val="8"/>
            </w:rPr>
            <w:t>污染环境防治管控规划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_Toc186468130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- 38 -</w:t>
          </w:r>
          <w:r>
            <w:rPr>
              <w:rFonts w:hint="eastAsia" w:ascii="宋体" w:hAnsi="宋体" w:eastAsia="宋体"/>
            </w:rPr>
            <w:fldChar w:fldCharType="end"/>
          </w:r>
          <w:r>
            <w:rPr>
              <w:rFonts w:hint="eastAsia" w:ascii="宋体" w:hAnsi="宋体" w:eastAsia="宋体"/>
            </w:rPr>
            <w:fldChar w:fldCharType="end"/>
          </w:r>
        </w:p>
        <w:p w14:paraId="2AFC2CB1">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"_Toc186468131" </w:instrText>
          </w:r>
          <w:r>
            <w:fldChar w:fldCharType="separate"/>
          </w:r>
          <w:r>
            <w:rPr>
              <w:rStyle w:val="27"/>
              <w:rFonts w:hint="eastAsia" w:ascii="宋体" w:hAnsi="宋体" w:eastAsia="宋体"/>
              <w:spacing w:val="-7"/>
            </w:rPr>
            <w:t>第一节 管控重点空间</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_Toc186468131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- 38 -</w:t>
          </w:r>
          <w:r>
            <w:rPr>
              <w:rFonts w:hint="eastAsia" w:ascii="宋体" w:hAnsi="宋体" w:eastAsia="宋体"/>
            </w:rPr>
            <w:fldChar w:fldCharType="end"/>
          </w:r>
          <w:r>
            <w:rPr>
              <w:rFonts w:hint="eastAsia" w:ascii="宋体" w:hAnsi="宋体" w:eastAsia="宋体"/>
            </w:rPr>
            <w:fldChar w:fldCharType="end"/>
          </w:r>
        </w:p>
        <w:p w14:paraId="274B4B82">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"_Toc186468132" </w:instrText>
          </w:r>
          <w:r>
            <w:fldChar w:fldCharType="separate"/>
          </w:r>
          <w:r>
            <w:rPr>
              <w:rStyle w:val="27"/>
              <w:rFonts w:hint="eastAsia" w:ascii="宋体" w:hAnsi="宋体" w:eastAsia="宋体"/>
              <w:spacing w:val="-7"/>
            </w:rPr>
            <w:t>第二节 管控措施</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_Toc186468132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- 39 -</w:t>
          </w:r>
          <w:r>
            <w:rPr>
              <w:rFonts w:hint="eastAsia" w:ascii="宋体" w:hAnsi="宋体" w:eastAsia="宋体"/>
            </w:rPr>
            <w:fldChar w:fldCharType="end"/>
          </w:r>
          <w:r>
            <w:rPr>
              <w:rFonts w:hint="eastAsia" w:ascii="宋体" w:hAnsi="宋体" w:eastAsia="宋体"/>
            </w:rPr>
            <w:fldChar w:fldCharType="end"/>
          </w:r>
        </w:p>
        <w:p w14:paraId="0E9C7F77">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"_Toc186468133" </w:instrText>
          </w:r>
          <w:r>
            <w:fldChar w:fldCharType="separate"/>
          </w:r>
          <w:r>
            <w:rPr>
              <w:rStyle w:val="27"/>
              <w:rFonts w:hint="eastAsia" w:ascii="宋体" w:hAnsi="宋体" w:eastAsia="宋体"/>
              <w:spacing w:val="-5"/>
            </w:rPr>
            <w:t xml:space="preserve">第八章  </w:t>
          </w:r>
          <w:r>
            <w:rPr>
              <w:rStyle w:val="27"/>
              <w:rFonts w:hint="eastAsia" w:ascii="宋体" w:hAnsi="宋体" w:eastAsia="宋体" w:cs="黑体"/>
              <w:spacing w:val="8"/>
            </w:rPr>
            <w:t>管理体系规划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_Toc186468133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- 41 -</w:t>
          </w:r>
          <w:r>
            <w:rPr>
              <w:rFonts w:hint="eastAsia" w:ascii="宋体" w:hAnsi="宋体" w:eastAsia="宋体"/>
            </w:rPr>
            <w:fldChar w:fldCharType="end"/>
          </w:r>
          <w:r>
            <w:rPr>
              <w:rFonts w:hint="eastAsia" w:ascii="宋体" w:hAnsi="宋体" w:eastAsia="宋体"/>
            </w:rPr>
            <w:fldChar w:fldCharType="end"/>
          </w:r>
        </w:p>
        <w:p w14:paraId="24D2A56A">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"_Toc186468134" </w:instrText>
          </w:r>
          <w:r>
            <w:fldChar w:fldCharType="separate"/>
          </w:r>
          <w:r>
            <w:rPr>
              <w:rStyle w:val="27"/>
              <w:rFonts w:hint="eastAsia" w:ascii="宋体" w:hAnsi="宋体" w:eastAsia="宋体"/>
              <w:spacing w:val="-7"/>
            </w:rPr>
            <w:t>第一节 管理组织构架</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_Toc186468134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- 41 -</w:t>
          </w:r>
          <w:r>
            <w:rPr>
              <w:rFonts w:hint="eastAsia" w:ascii="宋体" w:hAnsi="宋体" w:eastAsia="宋体"/>
            </w:rPr>
            <w:fldChar w:fldCharType="end"/>
          </w:r>
          <w:r>
            <w:rPr>
              <w:rFonts w:hint="eastAsia" w:ascii="宋体" w:hAnsi="宋体" w:eastAsia="宋体"/>
            </w:rPr>
            <w:fldChar w:fldCharType="end"/>
          </w:r>
        </w:p>
        <w:p w14:paraId="40209B4A">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"_Toc186468135" </w:instrText>
          </w:r>
          <w:r>
            <w:fldChar w:fldCharType="separate"/>
          </w:r>
          <w:r>
            <w:rPr>
              <w:rStyle w:val="27"/>
              <w:rFonts w:hint="eastAsia" w:ascii="宋体" w:hAnsi="宋体" w:eastAsia="宋体"/>
              <w:spacing w:val="-7"/>
            </w:rPr>
            <w:t>第二节 全过程管理体系建设</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_Toc186468135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- 41 -</w:t>
          </w:r>
          <w:r>
            <w:rPr>
              <w:rFonts w:hint="eastAsia" w:ascii="宋体" w:hAnsi="宋体" w:eastAsia="宋体"/>
            </w:rPr>
            <w:fldChar w:fldCharType="end"/>
          </w:r>
          <w:r>
            <w:rPr>
              <w:rFonts w:hint="eastAsia" w:ascii="宋体" w:hAnsi="宋体" w:eastAsia="宋体"/>
            </w:rPr>
            <w:fldChar w:fldCharType="end"/>
          </w:r>
        </w:p>
        <w:p w14:paraId="3DF2402C">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"_Toc186468136" </w:instrText>
          </w:r>
          <w:r>
            <w:fldChar w:fldCharType="separate"/>
          </w:r>
          <w:r>
            <w:rPr>
              <w:rStyle w:val="27"/>
              <w:rFonts w:hint="eastAsia" w:ascii="宋体" w:hAnsi="宋体" w:eastAsia="宋体"/>
              <w:spacing w:val="-5"/>
            </w:rPr>
            <w:t xml:space="preserve">第九章  </w:t>
          </w:r>
          <w:r>
            <w:rPr>
              <w:rStyle w:val="27"/>
              <w:rFonts w:hint="eastAsia" w:ascii="宋体" w:hAnsi="宋体" w:eastAsia="宋体" w:cs="黑体"/>
              <w:spacing w:val="8"/>
            </w:rPr>
            <w:t>近期建设规划</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_Toc186468136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- 44 -</w:t>
          </w:r>
          <w:r>
            <w:rPr>
              <w:rFonts w:hint="eastAsia" w:ascii="宋体" w:hAnsi="宋体" w:eastAsia="宋体"/>
            </w:rPr>
            <w:fldChar w:fldCharType="end"/>
          </w:r>
          <w:r>
            <w:rPr>
              <w:rFonts w:hint="eastAsia" w:ascii="宋体" w:hAnsi="宋体" w:eastAsia="宋体"/>
            </w:rPr>
            <w:fldChar w:fldCharType="end"/>
          </w:r>
        </w:p>
        <w:p w14:paraId="1194AD1B">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"_Toc186468137" </w:instrText>
          </w:r>
          <w:r>
            <w:fldChar w:fldCharType="separate"/>
          </w:r>
          <w:r>
            <w:rPr>
              <w:rStyle w:val="27"/>
              <w:rFonts w:hint="eastAsia" w:ascii="宋体" w:hAnsi="宋体" w:eastAsia="宋体"/>
              <w:spacing w:val="-7"/>
            </w:rPr>
            <w:t>第一节 近期建设目标</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_Toc186468137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- 44 -</w:t>
          </w:r>
          <w:r>
            <w:rPr>
              <w:rFonts w:hint="eastAsia" w:ascii="宋体" w:hAnsi="宋体" w:eastAsia="宋体"/>
            </w:rPr>
            <w:fldChar w:fldCharType="end"/>
          </w:r>
          <w:r>
            <w:rPr>
              <w:rFonts w:hint="eastAsia" w:ascii="宋体" w:hAnsi="宋体" w:eastAsia="宋体"/>
            </w:rPr>
            <w:fldChar w:fldCharType="end"/>
          </w:r>
        </w:p>
        <w:p w14:paraId="0FC1A57A">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"_Toc186468138" </w:instrText>
          </w:r>
          <w:r>
            <w:fldChar w:fldCharType="separate"/>
          </w:r>
          <w:r>
            <w:rPr>
              <w:rStyle w:val="27"/>
              <w:rFonts w:hint="eastAsia" w:ascii="宋体" w:hAnsi="宋体" w:eastAsia="宋体"/>
              <w:spacing w:val="-7"/>
            </w:rPr>
            <w:t>第二节 存量治理</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_Toc186468138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- 44 -</w:t>
          </w:r>
          <w:r>
            <w:rPr>
              <w:rFonts w:hint="eastAsia" w:ascii="宋体" w:hAnsi="宋体" w:eastAsia="宋体"/>
            </w:rPr>
            <w:fldChar w:fldCharType="end"/>
          </w:r>
          <w:r>
            <w:rPr>
              <w:rFonts w:hint="eastAsia" w:ascii="宋体" w:hAnsi="宋体" w:eastAsia="宋体"/>
            </w:rPr>
            <w:fldChar w:fldCharType="end"/>
          </w:r>
        </w:p>
        <w:p w14:paraId="12F5E36F">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"_Toc186468139" </w:instrText>
          </w:r>
          <w:r>
            <w:fldChar w:fldCharType="separate"/>
          </w:r>
          <w:r>
            <w:rPr>
              <w:rStyle w:val="27"/>
              <w:rFonts w:hint="eastAsia" w:ascii="宋体" w:hAnsi="宋体" w:eastAsia="宋体"/>
              <w:spacing w:val="-7"/>
            </w:rPr>
            <w:t>第三节 收集运输设施建设</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_Toc186468139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- 44 -</w:t>
          </w:r>
          <w:r>
            <w:rPr>
              <w:rFonts w:hint="eastAsia" w:ascii="宋体" w:hAnsi="宋体" w:eastAsia="宋体"/>
            </w:rPr>
            <w:fldChar w:fldCharType="end"/>
          </w:r>
          <w:r>
            <w:rPr>
              <w:rFonts w:hint="eastAsia" w:ascii="宋体" w:hAnsi="宋体" w:eastAsia="宋体"/>
            </w:rPr>
            <w:fldChar w:fldCharType="end"/>
          </w:r>
        </w:p>
        <w:p w14:paraId="7E22CFF2">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"_Toc186468140" </w:instrText>
          </w:r>
          <w:r>
            <w:fldChar w:fldCharType="separate"/>
          </w:r>
          <w:r>
            <w:rPr>
              <w:rStyle w:val="27"/>
              <w:rFonts w:hint="eastAsia" w:ascii="宋体" w:hAnsi="宋体" w:eastAsia="宋体"/>
              <w:spacing w:val="-7"/>
            </w:rPr>
            <w:t>第四节 处置利用设施建设</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_Toc186468140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- 44 -</w:t>
          </w:r>
          <w:r>
            <w:rPr>
              <w:rFonts w:hint="eastAsia" w:ascii="宋体" w:hAnsi="宋体" w:eastAsia="宋体"/>
            </w:rPr>
            <w:fldChar w:fldCharType="end"/>
          </w:r>
          <w:r>
            <w:rPr>
              <w:rFonts w:hint="eastAsia" w:ascii="宋体" w:hAnsi="宋体" w:eastAsia="宋体"/>
            </w:rPr>
            <w:fldChar w:fldCharType="end"/>
          </w:r>
        </w:p>
        <w:p w14:paraId="189060B7">
          <w:pPr>
            <w:pStyle w:val="16"/>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"_Toc186468141" </w:instrText>
          </w:r>
          <w:r>
            <w:fldChar w:fldCharType="separate"/>
          </w:r>
          <w:r>
            <w:rPr>
              <w:rStyle w:val="27"/>
              <w:rFonts w:hint="eastAsia" w:ascii="宋体" w:hAnsi="宋体" w:eastAsia="宋体"/>
              <w:spacing w:val="-5"/>
            </w:rPr>
            <w:t>第十章  保障措施</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_Toc186468141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- 46 -</w:t>
          </w:r>
          <w:r>
            <w:rPr>
              <w:rFonts w:hint="eastAsia" w:ascii="宋体" w:hAnsi="宋体" w:eastAsia="宋体"/>
            </w:rPr>
            <w:fldChar w:fldCharType="end"/>
          </w:r>
          <w:r>
            <w:rPr>
              <w:rFonts w:hint="eastAsia" w:ascii="宋体" w:hAnsi="宋体" w:eastAsia="宋体"/>
            </w:rPr>
            <w:fldChar w:fldCharType="end"/>
          </w:r>
        </w:p>
        <w:p w14:paraId="75DB123C">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"_Toc186468142" </w:instrText>
          </w:r>
          <w:r>
            <w:fldChar w:fldCharType="separate"/>
          </w:r>
          <w:r>
            <w:rPr>
              <w:rStyle w:val="27"/>
              <w:rFonts w:hint="eastAsia" w:ascii="宋体" w:hAnsi="宋体" w:eastAsia="宋体"/>
              <w:spacing w:val="-7"/>
            </w:rPr>
            <w:t>第一节 建立工作机制</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_Toc186468142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- 46 -</w:t>
          </w:r>
          <w:r>
            <w:rPr>
              <w:rFonts w:hint="eastAsia" w:ascii="宋体" w:hAnsi="宋体" w:eastAsia="宋体"/>
            </w:rPr>
            <w:fldChar w:fldCharType="end"/>
          </w:r>
          <w:r>
            <w:rPr>
              <w:rFonts w:hint="eastAsia" w:ascii="宋体" w:hAnsi="宋体" w:eastAsia="宋体"/>
            </w:rPr>
            <w:fldChar w:fldCharType="end"/>
          </w:r>
        </w:p>
        <w:p w14:paraId="70578C1E">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"_Toc186468143" </w:instrText>
          </w:r>
          <w:r>
            <w:fldChar w:fldCharType="separate"/>
          </w:r>
          <w:r>
            <w:rPr>
              <w:rStyle w:val="27"/>
              <w:rFonts w:hint="eastAsia" w:ascii="宋体" w:hAnsi="宋体" w:eastAsia="宋体"/>
              <w:spacing w:val="-7"/>
            </w:rPr>
            <w:t>第二节 加强政策扶持</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_Toc186468143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- 47 -</w:t>
          </w:r>
          <w:r>
            <w:rPr>
              <w:rFonts w:hint="eastAsia" w:ascii="宋体" w:hAnsi="宋体" w:eastAsia="宋体"/>
            </w:rPr>
            <w:fldChar w:fldCharType="end"/>
          </w:r>
          <w:r>
            <w:rPr>
              <w:rFonts w:hint="eastAsia" w:ascii="宋体" w:hAnsi="宋体" w:eastAsia="宋体"/>
            </w:rPr>
            <w:fldChar w:fldCharType="end"/>
          </w:r>
        </w:p>
        <w:p w14:paraId="69A752B5">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"_Toc186468144" </w:instrText>
          </w:r>
          <w:r>
            <w:fldChar w:fldCharType="separate"/>
          </w:r>
          <w:r>
            <w:rPr>
              <w:rStyle w:val="27"/>
              <w:rFonts w:hint="eastAsia" w:ascii="宋体" w:hAnsi="宋体" w:eastAsia="宋体"/>
              <w:spacing w:val="-7"/>
            </w:rPr>
            <w:t>第三节 加强要素保障</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_Toc186468144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- 47 -</w:t>
          </w:r>
          <w:r>
            <w:rPr>
              <w:rFonts w:hint="eastAsia" w:ascii="宋体" w:hAnsi="宋体" w:eastAsia="宋体"/>
            </w:rPr>
            <w:fldChar w:fldCharType="end"/>
          </w:r>
          <w:r>
            <w:rPr>
              <w:rFonts w:hint="eastAsia" w:ascii="宋体" w:hAnsi="宋体" w:eastAsia="宋体"/>
            </w:rPr>
            <w:fldChar w:fldCharType="end"/>
          </w:r>
        </w:p>
        <w:p w14:paraId="531CD4AD">
          <w:pPr>
            <w:pStyle w:val="19"/>
            <w:tabs>
              <w:tab w:val="right" w:leader="dot" w:pos="9430"/>
            </w:tabs>
            <w:rPr>
              <w:rFonts w:hint="eastAsia" w:ascii="宋体" w:hAnsi="宋体" w:eastAsia="宋体" w:cstheme="minorBidi"/>
              <w:kern w:val="2"/>
              <w:sz w:val="21"/>
              <w14:ligatures w14:val="standardContextual"/>
            </w:rPr>
          </w:pPr>
          <w:r>
            <w:fldChar w:fldCharType="begin"/>
          </w:r>
          <w:r>
            <w:instrText xml:space="preserve"> HYPERLINK \l "_Toc186468145" </w:instrText>
          </w:r>
          <w:r>
            <w:fldChar w:fldCharType="separate"/>
          </w:r>
          <w:r>
            <w:rPr>
              <w:rStyle w:val="27"/>
              <w:rFonts w:hint="eastAsia" w:ascii="宋体" w:hAnsi="宋体" w:eastAsia="宋体"/>
              <w:spacing w:val="-7"/>
            </w:rPr>
            <w:t>第四节 建立监管机制</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_Toc186468145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- 50 -</w:t>
          </w:r>
          <w:r>
            <w:rPr>
              <w:rFonts w:hint="eastAsia" w:ascii="宋体" w:hAnsi="宋体" w:eastAsia="宋体"/>
            </w:rPr>
            <w:fldChar w:fldCharType="end"/>
          </w:r>
          <w:r>
            <w:rPr>
              <w:rFonts w:hint="eastAsia" w:ascii="宋体" w:hAnsi="宋体" w:eastAsia="宋体"/>
            </w:rPr>
            <w:fldChar w:fldCharType="end"/>
          </w:r>
        </w:p>
        <w:p w14:paraId="1417D268">
          <w:pPr>
            <w:pStyle w:val="19"/>
            <w:tabs>
              <w:tab w:val="right" w:leader="dot" w:pos="9430"/>
            </w:tabs>
            <w:rPr>
              <w:rFonts w:hint="eastAsia" w:cstheme="minorBidi"/>
              <w:kern w:val="2"/>
              <w:sz w:val="21"/>
              <w14:ligatures w14:val="standardContextual"/>
            </w:rPr>
          </w:pPr>
          <w:r>
            <w:fldChar w:fldCharType="begin"/>
          </w:r>
          <w:r>
            <w:instrText xml:space="preserve"> HYPERLINK \l "_Toc186468146" </w:instrText>
          </w:r>
          <w:r>
            <w:fldChar w:fldCharType="separate"/>
          </w:r>
          <w:r>
            <w:rPr>
              <w:rStyle w:val="27"/>
              <w:rFonts w:hint="eastAsia" w:ascii="宋体" w:hAnsi="宋体" w:eastAsia="宋体"/>
              <w:spacing w:val="-7"/>
            </w:rPr>
            <w:t>附图</w:t>
          </w:r>
          <w:r>
            <w:rPr>
              <w:rFonts w:hint="eastAsia" w:ascii="宋体" w:hAnsi="宋体" w:eastAsia="宋体"/>
            </w:rPr>
            <w:tab/>
          </w:r>
          <w:r>
            <w:rPr>
              <w:rFonts w:hint="eastAsia" w:ascii="宋体" w:hAnsi="宋体" w:eastAsia="宋体"/>
            </w:rPr>
            <w:fldChar w:fldCharType="begin"/>
          </w:r>
          <w:r>
            <w:rPr>
              <w:rFonts w:hint="eastAsia" w:ascii="宋体" w:hAnsi="宋体" w:eastAsia="宋体"/>
            </w:rPr>
            <w:instrText xml:space="preserve"> </w:instrText>
          </w:r>
          <w:r>
            <w:rPr>
              <w:rFonts w:ascii="宋体" w:hAnsi="宋体" w:eastAsia="宋体"/>
            </w:rPr>
            <w:instrText xml:space="preserve">PAGEREF _Toc186468146 \h</w:instrText>
          </w:r>
          <w:r>
            <w:rPr>
              <w:rFonts w:hint="eastAsia" w:ascii="宋体" w:hAnsi="宋体" w:eastAsia="宋体"/>
            </w:rPr>
            <w:instrText xml:space="preserve"> </w:instrText>
          </w:r>
          <w:r>
            <w:rPr>
              <w:rFonts w:hint="eastAsia" w:ascii="宋体" w:hAnsi="宋体" w:eastAsia="宋体"/>
            </w:rPr>
            <w:fldChar w:fldCharType="separate"/>
          </w:r>
          <w:r>
            <w:rPr>
              <w:rFonts w:ascii="宋体" w:hAnsi="宋体" w:eastAsia="宋体"/>
            </w:rPr>
            <w:t>- 52 -</w:t>
          </w:r>
          <w:r>
            <w:rPr>
              <w:rFonts w:hint="eastAsia" w:ascii="宋体" w:hAnsi="宋体" w:eastAsia="宋体"/>
            </w:rPr>
            <w:fldChar w:fldCharType="end"/>
          </w:r>
          <w:r>
            <w:rPr>
              <w:rFonts w:hint="eastAsia" w:ascii="宋体" w:hAnsi="宋体" w:eastAsia="宋体"/>
            </w:rPr>
            <w:fldChar w:fldCharType="end"/>
          </w:r>
        </w:p>
        <w:p w14:paraId="025F4588">
          <w:pPr>
            <w:spacing w:line="360" w:lineRule="auto"/>
            <w:rPr>
              <w:lang w:val="zh-CN"/>
            </w:rPr>
          </w:pPr>
          <w:r>
            <w:rPr>
              <w:rFonts w:ascii="宋体" w:hAnsi="宋体" w:eastAsia="宋体"/>
              <w:lang w:val="zh-CN"/>
            </w:rPr>
            <w:fldChar w:fldCharType="end"/>
          </w:r>
        </w:p>
      </w:sdtContent>
    </w:sdt>
    <w:p w14:paraId="1B56AA67">
      <w:pPr>
        <w:spacing w:before="182" w:line="360" w:lineRule="auto"/>
        <w:ind w:right="79"/>
        <w:rPr>
          <w:lang w:eastAsia="zh-CN"/>
        </w:rPr>
      </w:pPr>
    </w:p>
    <w:p w14:paraId="69C120F0">
      <w:pPr>
        <w:spacing w:before="182" w:line="360" w:lineRule="auto"/>
        <w:ind w:left="28" w:right="79"/>
        <w:rPr>
          <w:lang w:eastAsia="zh-CN"/>
        </w:rPr>
      </w:pPr>
    </w:p>
    <w:p w14:paraId="66BE3C1A">
      <w:pPr>
        <w:spacing w:line="360" w:lineRule="auto"/>
        <w:rPr>
          <w:lang w:eastAsia="zh-CN"/>
        </w:rPr>
      </w:pPr>
    </w:p>
    <w:p w14:paraId="4ED9D990">
      <w:pPr>
        <w:spacing w:line="360" w:lineRule="auto"/>
        <w:rPr>
          <w:lang w:eastAsia="zh-CN"/>
        </w:rPr>
      </w:pPr>
    </w:p>
    <w:p w14:paraId="362677FD">
      <w:pPr>
        <w:spacing w:line="360" w:lineRule="auto"/>
        <w:rPr>
          <w:lang w:eastAsia="zh-CN"/>
        </w:rPr>
      </w:pPr>
    </w:p>
    <w:p w14:paraId="550A3617">
      <w:pPr>
        <w:tabs>
          <w:tab w:val="left" w:pos="4119"/>
        </w:tabs>
        <w:spacing w:line="360" w:lineRule="auto"/>
        <w:rPr>
          <w:lang w:eastAsia="zh-CN"/>
        </w:rPr>
        <w:sectPr>
          <w:headerReference r:id="rId3" w:type="default"/>
          <w:footerReference r:id="rId4" w:type="default"/>
          <w:pgSz w:w="11906" w:h="16839"/>
          <w:pgMar w:top="1225" w:right="1332" w:bottom="1225" w:left="1786" w:header="0" w:footer="851" w:gutter="0"/>
          <w:pgNumType w:fmt="numberInDash"/>
          <w:cols w:space="720" w:num="1"/>
          <w:docGrid w:linePitch="286" w:charSpace="0"/>
        </w:sectPr>
      </w:pPr>
    </w:p>
    <w:p w14:paraId="39553DF7">
      <w:pPr>
        <w:pStyle w:val="8"/>
        <w:spacing w:before="182" w:line="360" w:lineRule="auto"/>
        <w:ind w:left="28" w:right="79"/>
        <w:jc w:val="center"/>
        <w:outlineLvl w:val="0"/>
        <w:rPr>
          <w:rFonts w:hint="eastAsia"/>
          <w:sz w:val="31"/>
          <w:szCs w:val="31"/>
          <w:lang w:eastAsia="zh-CN"/>
        </w:rPr>
      </w:pPr>
      <w:bookmarkStart w:id="1" w:name="_Toc186468098"/>
      <w:r>
        <w:rPr>
          <w:rFonts w:hint="eastAsia"/>
          <w:b/>
          <w:bCs/>
          <w:spacing w:val="-5"/>
          <w:sz w:val="31"/>
          <w:szCs w:val="31"/>
          <w:lang w:eastAsia="zh-CN"/>
        </w:rPr>
        <w:t>第一章</w:t>
      </w:r>
      <w:r>
        <w:rPr>
          <w:rFonts w:ascii="Times New Roman" w:hAnsi="Times New Roman" w:eastAsia="Times New Roman" w:cs="Times New Roman"/>
          <w:b/>
          <w:bCs/>
          <w:spacing w:val="9"/>
          <w:sz w:val="31"/>
          <w:szCs w:val="31"/>
          <w:lang w:eastAsia="zh-CN"/>
        </w:rPr>
        <w:t xml:space="preserve">  </w:t>
      </w:r>
      <w:r>
        <w:rPr>
          <w:rFonts w:ascii="黑体" w:hAnsi="黑体" w:eastAsia="黑体" w:cs="黑体"/>
          <w:spacing w:val="7"/>
          <w:sz w:val="31"/>
          <w:szCs w:val="31"/>
          <w:lang w:eastAsia="zh-CN"/>
        </w:rPr>
        <w:t>规划背景</w:t>
      </w:r>
      <w:bookmarkEnd w:id="1"/>
    </w:p>
    <w:p w14:paraId="1636EF1F">
      <w:pPr>
        <w:pStyle w:val="8"/>
        <w:spacing w:before="182" w:line="360" w:lineRule="auto"/>
        <w:ind w:left="748" w:right="79"/>
        <w:outlineLvl w:val="1"/>
        <w:rPr>
          <w:rFonts w:hint="eastAsia"/>
          <w:b/>
          <w:bCs/>
          <w:spacing w:val="-4"/>
          <w:lang w:eastAsia="zh-CN"/>
        </w:rPr>
      </w:pPr>
      <w:bookmarkStart w:id="2" w:name="bookmark4"/>
      <w:bookmarkEnd w:id="2"/>
      <w:bookmarkStart w:id="3" w:name="bookmark5"/>
      <w:bookmarkEnd w:id="3"/>
      <w:bookmarkStart w:id="4" w:name="bookmark7"/>
      <w:bookmarkEnd w:id="4"/>
      <w:bookmarkStart w:id="5" w:name="_Toc186468099"/>
      <w:r>
        <w:rPr>
          <w:rFonts w:hint="eastAsia"/>
          <w:b/>
          <w:bCs/>
          <w:spacing w:val="-4"/>
          <w:lang w:eastAsia="zh-CN"/>
        </w:rPr>
        <w:t xml:space="preserve">第一节 </w:t>
      </w:r>
      <w:r>
        <w:rPr>
          <w:b/>
          <w:bCs/>
          <w:spacing w:val="-4"/>
          <w:lang w:eastAsia="zh-CN"/>
        </w:rPr>
        <w:t>政策背景</w:t>
      </w:r>
      <w:bookmarkEnd w:id="5"/>
    </w:p>
    <w:p w14:paraId="6D4E6751">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（一）政策背景</w:t>
      </w:r>
      <w:bookmarkStart w:id="164" w:name="_GoBack"/>
      <w:bookmarkEnd w:id="164"/>
    </w:p>
    <w:p w14:paraId="44D67147">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2021年，国家发展改革委、科技部等十部门联合发布《关于“十四五”大宗固体废物综合利用的指导意见》(发改环资(2021)381号)提出了推进大宗固废综合利用工作，是绿色发展之需，是形势变化之选，是效率变革之途。该指导意见表示“建筑垃圾综合利用的潜力巨大，要提高分类和回收利用水平，规范堆存、中转和资源化利用场所的建设和运营，鼓励在建筑工程和道路工程中应用建筑垃圾生产的再生骨料及制品，或用于土方平衡、林业用土、环境治理、烧结制品及回填等目的。同年7月,国家发展改革委印发《“十四五”循环经济发展规划》(发改环资(2021)969号)，提出大力发展循环经济，大幅提高资源利用效率和进一步提高再生资源对原生资源的替代比例，进一步凸显循环经济对资源安全的支撑保障作用，建筑垃圾综合利用率达到60%。</w:t>
      </w:r>
    </w:p>
    <w:p w14:paraId="78F89410">
      <w:pPr>
        <w:spacing w:line="360" w:lineRule="auto"/>
        <w:ind w:firstLine="462" w:firstLineChars="200"/>
        <w:rPr>
          <w:rFonts w:hint="eastAsia" w:ascii="宋体" w:hAnsi="宋体" w:eastAsia="宋体"/>
          <w:b/>
          <w:bCs/>
          <w:spacing w:val="-5"/>
          <w:sz w:val="24"/>
          <w:szCs w:val="24"/>
          <w:lang w:eastAsia="zh-CN"/>
        </w:rPr>
      </w:pPr>
      <w:bookmarkStart w:id="6" w:name="bookmark6"/>
      <w:bookmarkEnd w:id="6"/>
      <w:r>
        <w:rPr>
          <w:rFonts w:hint="eastAsia" w:ascii="宋体" w:hAnsi="宋体" w:eastAsia="宋体"/>
          <w:b/>
          <w:bCs/>
          <w:spacing w:val="-5"/>
          <w:sz w:val="24"/>
          <w:szCs w:val="24"/>
          <w:lang w:eastAsia="zh-CN"/>
        </w:rPr>
        <w:t>（二）四川省城市建筑垃圾处置及资源化利用行动方案</w:t>
      </w:r>
    </w:p>
    <w:p w14:paraId="33AF9BE7">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9月2日，四川省住房和城乡建设厅等八部门印发《四川省城市建筑垃圾处置及资源化利用行动方案》，方案要求，到2025年底，全省基本建立城市建筑垃圾治理体系，全过程管理制度有效落实，地级及以上城市建筑垃圾资源化处理能力满足实际需求，县级城市具有规范的建筑垃圾处置场所，城市建筑垃圾综合利用率达到50%以上</w:t>
      </w:r>
      <w:r>
        <w:rPr>
          <w:rFonts w:ascii="宋体" w:hAnsi="宋体" w:eastAsia="宋体" w:cs="宋体"/>
          <w:color w:val="333333"/>
          <w:spacing w:val="-4"/>
          <w:sz w:val="24"/>
          <w:szCs w:val="24"/>
          <w:lang w:eastAsia="zh-CN"/>
        </w:rPr>
        <w:t>。</w:t>
      </w:r>
    </w:p>
    <w:p w14:paraId="72FCC8B4">
      <w:pPr>
        <w:spacing w:line="360" w:lineRule="auto"/>
        <w:ind w:firstLine="462" w:firstLineChars="200"/>
        <w:rPr>
          <w:rFonts w:hint="eastAsia" w:ascii="宋体" w:hAnsi="宋体" w:eastAsia="宋体"/>
          <w:b/>
          <w:bCs/>
          <w:spacing w:val="-5"/>
          <w:sz w:val="24"/>
          <w:szCs w:val="24"/>
          <w:lang w:eastAsia="zh-CN"/>
        </w:rPr>
      </w:pPr>
      <w:bookmarkStart w:id="7" w:name="bookmark12"/>
      <w:bookmarkEnd w:id="7"/>
      <w:bookmarkStart w:id="8" w:name="bookmark13"/>
      <w:bookmarkEnd w:id="8"/>
      <w:r>
        <w:rPr>
          <w:rFonts w:hint="eastAsia" w:ascii="宋体" w:hAnsi="宋体" w:eastAsia="宋体"/>
          <w:b/>
          <w:bCs/>
          <w:spacing w:val="-5"/>
          <w:sz w:val="24"/>
          <w:szCs w:val="24"/>
          <w:lang w:eastAsia="zh-CN"/>
        </w:rPr>
        <w:t>（三）</w:t>
      </w:r>
      <w:r>
        <w:rPr>
          <w:rFonts w:ascii="宋体" w:hAnsi="宋体" w:eastAsia="宋体"/>
          <w:b/>
          <w:bCs/>
          <w:spacing w:val="-5"/>
          <w:sz w:val="24"/>
          <w:szCs w:val="24"/>
          <w:lang w:eastAsia="zh-CN"/>
        </w:rPr>
        <w:t>乐山印发《乐山市“无废城市”建设实施方案》</w:t>
      </w:r>
    </w:p>
    <w:p w14:paraId="5FABCE25">
      <w:pPr>
        <w:spacing w:line="360" w:lineRule="auto"/>
        <w:ind w:firstLine="464" w:firstLineChars="200"/>
        <w:rPr>
          <w:rFonts w:hint="eastAsia" w:ascii="宋体" w:hAnsi="宋体" w:eastAsia="宋体" w:cs="宋体"/>
          <w:color w:val="333333"/>
          <w:spacing w:val="-4"/>
          <w:sz w:val="24"/>
          <w:szCs w:val="24"/>
          <w:lang w:eastAsia="zh-CN"/>
        </w:rPr>
      </w:pPr>
      <w:r>
        <w:rPr>
          <w:rFonts w:ascii="宋体" w:hAnsi="宋体" w:eastAsia="宋体" w:cs="宋体"/>
          <w:color w:val="333333"/>
          <w:spacing w:val="-4"/>
          <w:sz w:val="24"/>
          <w:szCs w:val="24"/>
          <w:lang w:eastAsia="zh-CN"/>
        </w:rPr>
        <w:t>2022年4月，乐山市进入全国“十四五”时期“无废城市”建设名单。在峨眉山-乐山大佛世界文化与自然双遗产的品牌优势和嘉州文化深厚底蕴的推动下，该市以“无废嘉州·清洁双遗”为引领，展开了一场绿色转型的实践与探索。</w:t>
      </w:r>
      <w:r>
        <w:rPr>
          <w:rFonts w:hint="eastAsia" w:ascii="宋体" w:hAnsi="宋体" w:eastAsia="宋体" w:cs="宋体"/>
          <w:color w:val="333333"/>
          <w:spacing w:val="-4"/>
          <w:sz w:val="24"/>
          <w:szCs w:val="24"/>
          <w:lang w:eastAsia="zh-CN"/>
        </w:rPr>
        <w:t>2</w:t>
      </w:r>
      <w:r>
        <w:rPr>
          <w:rFonts w:ascii="宋体" w:hAnsi="宋体" w:eastAsia="宋体" w:cs="宋体"/>
          <w:color w:val="333333"/>
          <w:spacing w:val="-4"/>
          <w:sz w:val="24"/>
          <w:szCs w:val="24"/>
          <w:lang w:eastAsia="zh-CN"/>
        </w:rPr>
        <w:t>022年，乐山印发《乐山市“无废城市”建设实施方案》，明确建设目标和主要任务：到2025年，乐山“无废城市”建设的制度、监管、市场和技术体系基本完善，实现固体废物的源头减量化、资源化和无害化处置能力的全面提升。</w:t>
      </w:r>
      <w:bookmarkStart w:id="9" w:name="bookmark19"/>
      <w:bookmarkEnd w:id="9"/>
      <w:bookmarkStart w:id="10" w:name="bookmark15"/>
      <w:bookmarkEnd w:id="10"/>
      <w:bookmarkStart w:id="11" w:name="bookmark14"/>
      <w:bookmarkEnd w:id="11"/>
      <w:bookmarkStart w:id="12" w:name="bookmark17"/>
      <w:bookmarkEnd w:id="12"/>
      <w:bookmarkStart w:id="13" w:name="bookmark18"/>
      <w:bookmarkEnd w:id="13"/>
      <w:bookmarkStart w:id="14" w:name="bookmark16"/>
      <w:bookmarkEnd w:id="14"/>
    </w:p>
    <w:p w14:paraId="0A5D6261">
      <w:pPr>
        <w:pStyle w:val="8"/>
        <w:spacing w:before="182" w:line="360" w:lineRule="auto"/>
        <w:ind w:left="28" w:right="79" w:firstLine="586" w:firstLineChars="200"/>
        <w:outlineLvl w:val="1"/>
        <w:rPr>
          <w:rFonts w:hint="eastAsia"/>
          <w:b/>
          <w:bCs/>
          <w:spacing w:val="-4"/>
          <w:lang w:eastAsia="zh-CN"/>
        </w:rPr>
      </w:pPr>
      <w:bookmarkStart w:id="15" w:name="bookmark27"/>
      <w:bookmarkEnd w:id="15"/>
      <w:bookmarkStart w:id="16" w:name="bookmark29"/>
      <w:bookmarkEnd w:id="16"/>
      <w:bookmarkStart w:id="17" w:name="bookmark26"/>
      <w:bookmarkEnd w:id="17"/>
      <w:bookmarkStart w:id="18" w:name="_Toc186468100"/>
      <w:r>
        <w:rPr>
          <w:rFonts w:hint="eastAsia"/>
          <w:b/>
          <w:bCs/>
          <w:spacing w:val="-4"/>
          <w:lang w:eastAsia="zh-CN"/>
        </w:rPr>
        <w:t xml:space="preserve">第二节 </w:t>
      </w:r>
      <w:r>
        <w:rPr>
          <w:b/>
          <w:bCs/>
          <w:spacing w:val="-4"/>
          <w:lang w:eastAsia="zh-CN"/>
        </w:rPr>
        <w:t>城市概况</w:t>
      </w:r>
      <w:bookmarkEnd w:id="18"/>
    </w:p>
    <w:p w14:paraId="3B93CC99">
      <w:pPr>
        <w:spacing w:line="360" w:lineRule="auto"/>
        <w:ind w:firstLine="462" w:firstLineChars="200"/>
        <w:rPr>
          <w:rFonts w:hint="eastAsia" w:ascii="宋体" w:hAnsi="宋体" w:eastAsia="宋体"/>
          <w:b/>
          <w:bCs/>
          <w:spacing w:val="-5"/>
          <w:sz w:val="24"/>
          <w:szCs w:val="24"/>
          <w:lang w:eastAsia="zh-CN"/>
        </w:rPr>
      </w:pPr>
      <w:bookmarkStart w:id="19" w:name="bookmark28"/>
      <w:bookmarkEnd w:id="19"/>
      <w:r>
        <w:rPr>
          <w:rFonts w:hint="eastAsia" w:ascii="宋体" w:hAnsi="宋体" w:eastAsia="宋体"/>
          <w:b/>
          <w:bCs/>
          <w:spacing w:val="-5"/>
          <w:sz w:val="24"/>
          <w:szCs w:val="24"/>
          <w:lang w:eastAsia="zh-CN"/>
        </w:rPr>
        <w:t>（一）社会经济</w:t>
      </w:r>
    </w:p>
    <w:p w14:paraId="4545B6F2">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区位关系：</w:t>
      </w:r>
      <w:r>
        <w:rPr>
          <w:rFonts w:ascii="宋体" w:hAnsi="宋体" w:eastAsia="宋体" w:cs="宋体"/>
          <w:color w:val="333333"/>
          <w:spacing w:val="-4"/>
          <w:sz w:val="24"/>
          <w:szCs w:val="24"/>
          <w:lang w:eastAsia="zh-CN"/>
        </w:rPr>
        <w:t>夹江县地处四川省西南，乐山市西北部和成都平原南部眉嘉平原上</w:t>
      </w:r>
      <w:r>
        <w:rPr>
          <w:rFonts w:hint="eastAsia" w:ascii="宋体" w:hAnsi="宋体" w:eastAsia="宋体" w:cs="宋体"/>
          <w:color w:val="333333"/>
          <w:spacing w:val="-4"/>
          <w:sz w:val="24"/>
          <w:szCs w:val="24"/>
          <w:lang w:eastAsia="zh-CN"/>
        </w:rPr>
        <w:t>，</w:t>
      </w:r>
      <w:r>
        <w:rPr>
          <w:rFonts w:ascii="宋体" w:hAnsi="宋体" w:eastAsia="宋体" w:cs="宋体"/>
          <w:color w:val="333333"/>
          <w:spacing w:val="-4"/>
          <w:sz w:val="24"/>
          <w:szCs w:val="24"/>
          <w:lang w:eastAsia="zh-CN"/>
        </w:rPr>
        <w:t>毗邻成德眉资同城化地区、峨眉山国家风景名胜区；是乐山市北部门户、大峨眉山交旅示范区的组成部分。全县东西长43.7千米，南北宽33.5千米，与乐山市市中区、峨眉山市，眉山市洪雅县、青神县、丹棱县、东坡区相邻。成都至乐山高速公路、成渝环线高速公路和多条国省道过境，成昆铁路和成昆复线铁路可直达成都、昆明并连接东南亚国际贸易口岸。</w:t>
      </w:r>
    </w:p>
    <w:p w14:paraId="0B0FEA75">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自然地理：</w:t>
      </w:r>
      <w:r>
        <w:rPr>
          <w:rFonts w:ascii="宋体" w:hAnsi="宋体" w:eastAsia="宋体" w:cs="宋体"/>
          <w:color w:val="333333"/>
          <w:spacing w:val="-4"/>
          <w:sz w:val="24"/>
          <w:szCs w:val="24"/>
          <w:lang w:eastAsia="zh-CN"/>
        </w:rPr>
        <w:t>夹江县位于峨眉山东北麓、四川盆地西南边缘向峨眉山中山区的过渡地带，县境西部海拔1000米以上的山岭属峨眉山余脉。地势由西北向东南构成山地、平坝、台丘分明的地貌轮廓。全县平均海拔480米，最高点为华头镇斗笠口，海拔1451米；最低点为甘江镇青衣江出境处，海拔380米。</w:t>
      </w:r>
    </w:p>
    <w:p w14:paraId="60A8984A">
      <w:pPr>
        <w:spacing w:line="360" w:lineRule="auto"/>
        <w:ind w:firstLine="464" w:firstLineChars="200"/>
        <w:rPr>
          <w:rFonts w:hint="eastAsia" w:ascii="宋体" w:hAnsi="宋体" w:eastAsia="宋体" w:cs="宋体"/>
          <w:color w:val="333333"/>
          <w:spacing w:val="-4"/>
          <w:sz w:val="24"/>
          <w:szCs w:val="24"/>
          <w:lang w:eastAsia="zh-CN"/>
        </w:rPr>
      </w:pPr>
      <w:r>
        <w:rPr>
          <w:rFonts w:ascii="宋体" w:hAnsi="宋体" w:eastAsia="宋体" w:cs="宋体"/>
          <w:color w:val="333333"/>
          <w:spacing w:val="-4"/>
          <w:sz w:val="24"/>
          <w:szCs w:val="24"/>
          <w:lang w:eastAsia="zh-CN"/>
        </w:rPr>
        <w:t>气候水文</w:t>
      </w:r>
      <w:r>
        <w:rPr>
          <w:rFonts w:hint="eastAsia" w:ascii="宋体" w:hAnsi="宋体" w:eastAsia="宋体" w:cs="宋体"/>
          <w:color w:val="333333"/>
          <w:spacing w:val="-4"/>
          <w:sz w:val="24"/>
          <w:szCs w:val="24"/>
          <w:lang w:eastAsia="zh-CN"/>
        </w:rPr>
        <w:t>：</w:t>
      </w:r>
      <w:r>
        <w:rPr>
          <w:rFonts w:ascii="宋体" w:hAnsi="宋体" w:eastAsia="宋体" w:cs="宋体"/>
          <w:color w:val="333333"/>
          <w:spacing w:val="-4"/>
          <w:sz w:val="24"/>
          <w:szCs w:val="24"/>
          <w:lang w:eastAsia="zh-CN"/>
        </w:rPr>
        <w:t>夹江县年平均气温17.</w:t>
      </w:r>
      <w:r>
        <w:rPr>
          <w:rFonts w:hint="eastAsia" w:ascii="宋体" w:hAnsi="宋体" w:eastAsia="宋体" w:cs="宋体"/>
          <w:color w:val="333333"/>
          <w:spacing w:val="-4"/>
          <w:sz w:val="24"/>
          <w:szCs w:val="24"/>
          <w:lang w:val="en-US" w:eastAsia="zh-CN"/>
        </w:rPr>
        <w:t>5</w:t>
      </w:r>
      <w:r>
        <w:rPr>
          <w:rFonts w:ascii="宋体" w:hAnsi="宋体" w:eastAsia="宋体" w:cs="宋体"/>
          <w:color w:val="333333"/>
          <w:spacing w:val="-4"/>
          <w:sz w:val="24"/>
          <w:szCs w:val="24"/>
          <w:lang w:eastAsia="zh-CN"/>
        </w:rPr>
        <w:t>℃,年平均日照时数</w:t>
      </w:r>
      <w:r>
        <w:rPr>
          <w:rFonts w:hint="eastAsia" w:ascii="宋体" w:hAnsi="宋体" w:eastAsia="宋体" w:cs="宋体"/>
          <w:color w:val="333333"/>
          <w:spacing w:val="-4"/>
          <w:sz w:val="24"/>
          <w:szCs w:val="24"/>
          <w:lang w:val="en-US" w:eastAsia="zh-CN"/>
        </w:rPr>
        <w:t>935.7</w:t>
      </w:r>
      <w:r>
        <w:rPr>
          <w:rFonts w:ascii="宋体" w:hAnsi="宋体" w:eastAsia="宋体" w:cs="宋体"/>
          <w:color w:val="333333"/>
          <w:spacing w:val="-4"/>
          <w:sz w:val="24"/>
          <w:szCs w:val="24"/>
          <w:lang w:eastAsia="zh-CN"/>
        </w:rPr>
        <w:t>小时，无霜期</w:t>
      </w:r>
      <w:r>
        <w:rPr>
          <w:rFonts w:hint="eastAsia" w:ascii="宋体" w:hAnsi="宋体" w:eastAsia="宋体" w:cs="宋体"/>
          <w:color w:val="333333"/>
          <w:spacing w:val="-4"/>
          <w:sz w:val="24"/>
          <w:szCs w:val="24"/>
          <w:lang w:val="en-US" w:eastAsia="zh-CN"/>
        </w:rPr>
        <w:t>320</w:t>
      </w:r>
      <w:r>
        <w:rPr>
          <w:rFonts w:ascii="宋体" w:hAnsi="宋体" w:eastAsia="宋体" w:cs="宋体"/>
          <w:color w:val="333333"/>
          <w:spacing w:val="-4"/>
          <w:sz w:val="24"/>
          <w:szCs w:val="24"/>
          <w:lang w:eastAsia="zh-CN"/>
        </w:rPr>
        <w:t>天，降水量</w:t>
      </w:r>
      <w:r>
        <w:rPr>
          <w:rFonts w:hint="eastAsia" w:ascii="宋体" w:hAnsi="宋体" w:eastAsia="宋体" w:cs="宋体"/>
          <w:color w:val="333333"/>
          <w:spacing w:val="-4"/>
          <w:sz w:val="24"/>
          <w:szCs w:val="24"/>
          <w:lang w:val="en-US" w:eastAsia="zh-CN"/>
        </w:rPr>
        <w:t>1235.4</w:t>
      </w:r>
      <w:r>
        <w:rPr>
          <w:rFonts w:ascii="宋体" w:hAnsi="宋体" w:eastAsia="宋体" w:cs="宋体"/>
          <w:color w:val="333333"/>
          <w:spacing w:val="-4"/>
          <w:sz w:val="24"/>
          <w:szCs w:val="24"/>
          <w:lang w:eastAsia="zh-CN"/>
        </w:rPr>
        <w:t>毫米。境内河流纵横，河流均属长江流域，分属岷江水系，其中流域面积在10平方千米以上的河流河道总长约250.93千米。</w:t>
      </w:r>
    </w:p>
    <w:p w14:paraId="0124CC68">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经济状况：2023年夹江县生产总值（GDP）235.7亿元，比上年增长1.5%，增速比上年提高3.7个百分点。其中，第一产业增加值为37.7亿元，比上年增长5.6%；第二产业增加值为106.6亿元，比上年下降3.6%；第三产业增加值为91.4亿元，比上年增长6.1%。</w:t>
      </w:r>
    </w:p>
    <w:p w14:paraId="311B72D6">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（二）城市建设</w:t>
      </w:r>
    </w:p>
    <w:p w14:paraId="4A8C7374">
      <w:pPr>
        <w:pStyle w:val="8"/>
        <w:spacing w:before="232" w:line="360" w:lineRule="auto"/>
        <w:ind w:left="17" w:right="7" w:firstLine="464" w:firstLineChars="200"/>
        <w:rPr>
          <w:rFonts w:hint="eastAsia"/>
          <w:color w:val="333333"/>
          <w:spacing w:val="-4"/>
          <w:sz w:val="24"/>
          <w:szCs w:val="24"/>
          <w:lang w:eastAsia="zh-CN"/>
        </w:rPr>
      </w:pPr>
      <w:bookmarkStart w:id="20" w:name="bookmark33"/>
      <w:bookmarkEnd w:id="20"/>
      <w:bookmarkStart w:id="21" w:name="bookmark32"/>
      <w:bookmarkEnd w:id="21"/>
      <w:r>
        <w:rPr>
          <w:rFonts w:hint="eastAsia"/>
          <w:color w:val="333333"/>
          <w:spacing w:val="-4"/>
          <w:sz w:val="24"/>
          <w:szCs w:val="24"/>
          <w:lang w:eastAsia="zh-CN"/>
        </w:rPr>
        <w:t>产业基础：</w:t>
      </w:r>
      <w:r>
        <w:rPr>
          <w:color w:val="333333"/>
          <w:spacing w:val="-4"/>
          <w:sz w:val="24"/>
          <w:szCs w:val="24"/>
          <w:lang w:eastAsia="zh-CN"/>
        </w:rPr>
        <w:t>核技术应用已列入四川省战略性新兴产业集群，拥有2座同位素研究堆，全国首个获得环评批复的核技术应用专业园区，以及中国核动力研究设计院、中核高通、核设备厂、四川核总、四川海同、中核同源、乐山纽瑞特、中核方源物流、四川持恒源、青辐安物流等10余家企业（院所）</w:t>
      </w:r>
      <w:r>
        <w:rPr>
          <w:rFonts w:hint="eastAsia"/>
          <w:color w:val="333333"/>
          <w:spacing w:val="-4"/>
          <w:sz w:val="24"/>
          <w:szCs w:val="24"/>
          <w:lang w:eastAsia="zh-CN"/>
        </w:rPr>
        <w:t>。</w:t>
      </w:r>
      <w:r>
        <w:rPr>
          <w:color w:val="333333"/>
          <w:spacing w:val="-4"/>
          <w:sz w:val="24"/>
          <w:szCs w:val="24"/>
          <w:lang w:eastAsia="zh-CN"/>
        </w:rPr>
        <w:t>陶瓷（建材）规上企业47家，企业产值达159亿元，集群产值达355亿元，陶瓷大板、岩板产能居全国第二，产区综合实力居全国第五，川内尚无能和夹江陶瓷产业竞争的地区。造纸产业市场占有率较高，现有手工造纸户130余家，机械造纸企业21家，年产值20.5亿元，基本形成竹片、竹笋、竹浆造纸等加工体系。农产品加工企业300余家，加工产值逾</w:t>
      </w:r>
      <w:r>
        <w:rPr>
          <w:rFonts w:hint="eastAsia"/>
          <w:color w:val="333333"/>
          <w:spacing w:val="-4"/>
          <w:sz w:val="24"/>
          <w:szCs w:val="24"/>
          <w:lang w:eastAsia="zh-CN"/>
        </w:rPr>
        <w:t>2</w:t>
      </w:r>
      <w:r>
        <w:rPr>
          <w:color w:val="333333"/>
          <w:spacing w:val="-4"/>
          <w:sz w:val="24"/>
          <w:szCs w:val="24"/>
          <w:lang w:eastAsia="zh-CN"/>
        </w:rPr>
        <w:t>0亿元，其中茶叶加工企业217家。旅游2020年全年旅游接待人数582.34万人次，实现旅游总收入68.0亿元，位列全市第四名。特色农业有粮油、茶叶、蔬菜和中药材，是中国茶业百强县、中国绿茶出口第一县、全国蔬菜生产重点县。</w:t>
      </w:r>
    </w:p>
    <w:p w14:paraId="05BD8332">
      <w:pPr>
        <w:pStyle w:val="8"/>
        <w:spacing w:before="232" w:line="360" w:lineRule="auto"/>
        <w:ind w:left="17" w:right="7" w:firstLine="464" w:firstLineChars="200"/>
        <w:rPr>
          <w:rFonts w:hint="eastAsia"/>
          <w:color w:val="333333"/>
          <w:spacing w:val="-4"/>
          <w:sz w:val="24"/>
          <w:szCs w:val="24"/>
          <w:lang w:eastAsia="zh-CN"/>
        </w:rPr>
      </w:pPr>
      <w:r>
        <w:rPr>
          <w:rFonts w:hint="eastAsia"/>
          <w:color w:val="333333"/>
          <w:spacing w:val="-4"/>
          <w:sz w:val="24"/>
          <w:szCs w:val="24"/>
          <w:lang w:eastAsia="zh-CN"/>
        </w:rPr>
        <w:t>设施建设：</w:t>
      </w:r>
      <w:r>
        <w:rPr>
          <w:color w:val="333333"/>
          <w:spacing w:val="-4"/>
          <w:sz w:val="24"/>
          <w:szCs w:val="24"/>
          <w:lang w:eastAsia="zh-CN"/>
        </w:rPr>
        <w:t>老城区延续鱼骨状路网布局，滨江片区和城南片区采用方格网路网布局。文化设施有夹江县青少年校外活动中心、图书馆、文化馆、手工造纸博物馆等。教育设施主要有夹江外国语实验学校，夹江县一小、二小、漹城三小、英才小学、夹江中学、夹江一中、夹江二中、黄土一中。医疗卫生设施主要有夹江县人民医院、夹江县中医医院、夹江县妇女儿童医院、精神卫生中心和多个社区卫生服务中心。公园绿地主要有世遗广场公园、龙腾湖湿地公园、时代广场、瓷都广场公园、铁路遗址公园等。</w:t>
      </w:r>
    </w:p>
    <w:p w14:paraId="7D78EEF6">
      <w:pPr>
        <w:pStyle w:val="8"/>
        <w:spacing w:before="182" w:line="360" w:lineRule="auto"/>
        <w:ind w:left="28" w:right="79" w:firstLine="586" w:firstLineChars="200"/>
        <w:outlineLvl w:val="1"/>
        <w:rPr>
          <w:rFonts w:hint="eastAsia"/>
          <w:b/>
          <w:bCs/>
          <w:spacing w:val="-4"/>
          <w:lang w:eastAsia="zh-CN"/>
        </w:rPr>
      </w:pPr>
      <w:bookmarkStart w:id="22" w:name="bookmark35"/>
      <w:bookmarkEnd w:id="22"/>
      <w:bookmarkStart w:id="23" w:name="bookmark36"/>
      <w:bookmarkEnd w:id="23"/>
      <w:bookmarkStart w:id="24" w:name="_Toc186468101"/>
      <w:r>
        <w:rPr>
          <w:rFonts w:hint="eastAsia"/>
          <w:b/>
          <w:bCs/>
          <w:spacing w:val="-4"/>
          <w:lang w:eastAsia="zh-CN"/>
        </w:rPr>
        <w:t>第三节</w:t>
      </w:r>
      <w:r>
        <w:rPr>
          <w:b/>
          <w:bCs/>
          <w:spacing w:val="-4"/>
          <w:lang w:eastAsia="zh-CN"/>
        </w:rPr>
        <w:t xml:space="preserve"> 上位及相关规划</w:t>
      </w:r>
      <w:bookmarkEnd w:id="24"/>
    </w:p>
    <w:p w14:paraId="5DC5FC83">
      <w:pPr>
        <w:pStyle w:val="8"/>
        <w:spacing w:before="232" w:line="360" w:lineRule="auto"/>
        <w:ind w:left="17" w:right="7" w:firstLine="464" w:firstLineChars="200"/>
        <w:rPr>
          <w:rFonts w:hint="eastAsia"/>
          <w:color w:val="333333"/>
          <w:spacing w:val="-4"/>
          <w:sz w:val="24"/>
          <w:szCs w:val="24"/>
          <w:lang w:eastAsia="zh-CN"/>
        </w:rPr>
      </w:pPr>
      <w:r>
        <w:rPr>
          <w:rFonts w:hint="eastAsia"/>
          <w:color w:val="333333"/>
          <w:spacing w:val="-4"/>
          <w:sz w:val="24"/>
          <w:szCs w:val="24"/>
          <w:lang w:eastAsia="zh-CN"/>
        </w:rPr>
        <w:t>《乐山市“十四五”城乡人居环境规划》（以下简称《规划》）印发。《规划》明确，到2025年，全市城乡人居环境建设治理体系和治理能力现代化目标基本实现，城乡人居环境品质显著提升，争创成为全省城乡人居环境建设示范市区。</w:t>
      </w:r>
    </w:p>
    <w:p w14:paraId="0F751598">
      <w:pPr>
        <w:pStyle w:val="8"/>
        <w:spacing w:before="232" w:line="360" w:lineRule="auto"/>
        <w:ind w:left="17" w:right="7" w:firstLine="464" w:firstLineChars="200"/>
        <w:rPr>
          <w:rFonts w:hint="eastAsia"/>
          <w:color w:val="333333"/>
          <w:spacing w:val="-4"/>
          <w:sz w:val="24"/>
          <w:szCs w:val="24"/>
          <w:lang w:eastAsia="zh-CN"/>
        </w:rPr>
      </w:pPr>
      <w:r>
        <w:rPr>
          <w:rFonts w:hint="eastAsia"/>
          <w:color w:val="333333"/>
          <w:spacing w:val="-4"/>
          <w:sz w:val="24"/>
          <w:szCs w:val="24"/>
          <w:lang w:eastAsia="zh-CN"/>
        </w:rPr>
        <w:t>《规划》明确，“十四五”期间，乐山市将系统推进“六个城市”（宜居城市、绿色城市、韧性城市、智慧城市、人文城市、创新城市）和“四园乡村”（生活舒适的乐园、道德示范的家园、生态良好的田园、乡愁记忆的故园）建设，实现生态优良、住房安居、出行便捷舒适、设施全面补齐、公服提标扩面、特色文化彰显的城乡人居环境总体目标，共同缔造美好环境与幸福生活。</w:t>
      </w:r>
    </w:p>
    <w:p w14:paraId="421869F4">
      <w:pPr>
        <w:spacing w:line="360" w:lineRule="auto"/>
        <w:ind w:firstLine="200"/>
        <w:rPr>
          <w:rFonts w:hint="eastAsia" w:ascii="宋体" w:hAnsi="宋体" w:eastAsia="宋体" w:cs="宋体"/>
          <w:color w:val="333333"/>
          <w:spacing w:val="-4"/>
          <w:sz w:val="24"/>
          <w:szCs w:val="24"/>
          <w:lang w:eastAsia="zh-CN"/>
        </w:rPr>
      </w:pPr>
      <w:bookmarkStart w:id="25" w:name="bookmark37"/>
      <w:bookmarkEnd w:id="25"/>
      <w:bookmarkStart w:id="26" w:name="bookmark38"/>
      <w:bookmarkEnd w:id="26"/>
      <w:r>
        <w:rPr>
          <w:rFonts w:ascii="宋体" w:hAnsi="宋体" w:eastAsia="宋体" w:cs="宋体"/>
          <w:color w:val="333333"/>
          <w:spacing w:val="-4"/>
          <w:sz w:val="24"/>
          <w:szCs w:val="24"/>
          <w:lang w:eastAsia="zh-CN"/>
        </w:rPr>
        <w:t>（</w:t>
      </w:r>
      <w:r>
        <w:rPr>
          <w:rFonts w:hint="eastAsia" w:ascii="宋体" w:hAnsi="宋体" w:eastAsia="宋体" w:cs="宋体"/>
          <w:color w:val="333333"/>
          <w:spacing w:val="-4"/>
          <w:sz w:val="24"/>
          <w:szCs w:val="24"/>
          <w:lang w:eastAsia="zh-CN"/>
        </w:rPr>
        <w:t>1</w:t>
      </w:r>
      <w:r>
        <w:rPr>
          <w:rFonts w:ascii="宋体" w:hAnsi="宋体" w:eastAsia="宋体" w:cs="宋体"/>
          <w:color w:val="333333"/>
          <w:spacing w:val="-4"/>
          <w:sz w:val="24"/>
          <w:szCs w:val="24"/>
          <w:lang w:eastAsia="zh-CN"/>
        </w:rPr>
        <w:t>）</w:t>
      </w:r>
      <w:r>
        <w:rPr>
          <w:rFonts w:hint="eastAsia" w:ascii="宋体" w:hAnsi="宋体" w:eastAsia="宋体" w:cs="宋体"/>
          <w:color w:val="333333"/>
          <w:spacing w:val="-4"/>
          <w:sz w:val="24"/>
          <w:szCs w:val="24"/>
          <w:lang w:eastAsia="zh-CN"/>
        </w:rPr>
        <w:t>环境卫生专项规划</w:t>
      </w:r>
    </w:p>
    <w:p w14:paraId="29C767FC">
      <w:pPr>
        <w:pStyle w:val="8"/>
        <w:spacing w:before="232" w:line="360" w:lineRule="auto"/>
        <w:ind w:left="17" w:right="7" w:firstLine="464" w:firstLineChars="200"/>
        <w:rPr>
          <w:rFonts w:hint="eastAsia"/>
          <w:color w:val="333333"/>
          <w:spacing w:val="-4"/>
          <w:sz w:val="24"/>
          <w:szCs w:val="24"/>
          <w:lang w:eastAsia="zh-CN"/>
        </w:rPr>
      </w:pPr>
      <w:r>
        <w:rPr>
          <w:rFonts w:hint="eastAsia"/>
          <w:color w:val="333333"/>
          <w:spacing w:val="-4"/>
          <w:sz w:val="24"/>
          <w:szCs w:val="24"/>
          <w:lang w:eastAsia="zh-CN"/>
        </w:rPr>
        <w:t>制定环境卫生专项规划，规划内容按照环境要素主要分为：污染物排放总量控制、水污染防治、大气污染防治、固体废弃物污染防治、农村环境综合整治、自然生态保护、环境监管能力建设、核与辐射监管、持久性有机污染物和重金属污染物防治等9个专题。规划内容按照保护目标主要分为：构建生态安全战略格局，加强生态保护与建设、加强环境保护(污染物减排、饮用水源地保护、流域水污染防治、大气污染防治、城市环境保护、农村环境保护、固体废物污染防治、重金属污染防控、化学品环境风险防控、核与辐射环境监管)、生态文明建设、环境保护能力建设等。</w:t>
      </w:r>
    </w:p>
    <w:p w14:paraId="57C02DBE">
      <w:pPr>
        <w:pStyle w:val="8"/>
        <w:spacing w:before="232" w:line="360" w:lineRule="auto"/>
        <w:ind w:left="17" w:right="7" w:firstLine="464" w:firstLineChars="200"/>
        <w:rPr>
          <w:rFonts w:hint="eastAsia"/>
          <w:color w:val="333333"/>
          <w:spacing w:val="-4"/>
          <w:sz w:val="24"/>
          <w:szCs w:val="24"/>
          <w:lang w:eastAsia="zh-CN"/>
        </w:rPr>
      </w:pPr>
      <w:r>
        <w:rPr>
          <w:color w:val="333333"/>
          <w:spacing w:val="-4"/>
          <w:sz w:val="24"/>
          <w:szCs w:val="24"/>
          <w:lang w:eastAsia="zh-CN"/>
        </w:rPr>
        <w:t>建立覆盖全域的村收集、镇转运、市县处理的垃圾收运处理体系，对原有垃圾填埋场进行土地综合整治，盘活利用该处大面积废弃土地。规划保留夹江县城垃圾转运站，以镇为单位新建8座垃圾转运站。全县生活垃圾统一运输至</w:t>
      </w:r>
      <w:bookmarkStart w:id="27" w:name="OLE_LINK1"/>
      <w:r>
        <w:rPr>
          <w:color w:val="333333"/>
          <w:spacing w:val="-4"/>
          <w:sz w:val="24"/>
          <w:szCs w:val="24"/>
          <w:lang w:eastAsia="zh-CN"/>
        </w:rPr>
        <w:t>乐山光大焚烧发电厂焚烧场进行处理</w:t>
      </w:r>
      <w:bookmarkEnd w:id="27"/>
      <w:r>
        <w:rPr>
          <w:color w:val="333333"/>
          <w:spacing w:val="-4"/>
          <w:sz w:val="24"/>
          <w:szCs w:val="24"/>
          <w:lang w:eastAsia="zh-CN"/>
        </w:rPr>
        <w:t>。</w:t>
      </w:r>
    </w:p>
    <w:p w14:paraId="01DA8894">
      <w:pPr>
        <w:spacing w:line="360" w:lineRule="auto"/>
        <w:ind w:firstLine="200"/>
        <w:rPr>
          <w:rFonts w:hint="eastAsia" w:ascii="宋体" w:hAnsi="宋体" w:eastAsia="宋体" w:cs="宋体"/>
          <w:spacing w:val="-1"/>
          <w:sz w:val="24"/>
          <w:szCs w:val="24"/>
          <w:lang w:eastAsia="zh-CN"/>
        </w:rPr>
      </w:pPr>
      <w:bookmarkStart w:id="28" w:name="bookmark39"/>
      <w:bookmarkEnd w:id="28"/>
      <w:bookmarkStart w:id="29" w:name="bookmark40"/>
      <w:bookmarkEnd w:id="29"/>
      <w:r>
        <w:rPr>
          <w:rFonts w:hint="eastAsia" w:ascii="宋体" w:hAnsi="宋体" w:eastAsia="宋体" w:cs="宋体"/>
          <w:spacing w:val="-1"/>
          <w:sz w:val="24"/>
          <w:szCs w:val="24"/>
          <w:lang w:eastAsia="zh-CN"/>
        </w:rPr>
        <w:t>（2）生态环境保护专项规划</w:t>
      </w:r>
    </w:p>
    <w:p w14:paraId="34E61FF9">
      <w:pPr>
        <w:pStyle w:val="8"/>
        <w:spacing w:before="232" w:line="360" w:lineRule="auto"/>
        <w:ind w:left="17" w:right="7" w:firstLine="464" w:firstLineChars="200"/>
        <w:rPr>
          <w:rFonts w:hint="eastAsia"/>
          <w:color w:val="333333"/>
          <w:spacing w:val="-4"/>
          <w:sz w:val="24"/>
          <w:szCs w:val="24"/>
          <w:lang w:eastAsia="zh-CN"/>
        </w:rPr>
      </w:pPr>
      <w:r>
        <w:rPr>
          <w:color w:val="333333"/>
          <w:spacing w:val="-4"/>
          <w:sz w:val="24"/>
          <w:szCs w:val="24"/>
          <w:lang w:eastAsia="zh-CN"/>
        </w:rPr>
        <w:t>根据《乐山市国民经济和社会发展第十四个五年规划和二〇三五年远景目标纲要》以及《乐山市市中区国民经济和社会发展第十四个五年规划和二〇三五年远景目标纲要》，制定并实施《乐山市市中区“十四五”生态环境保护规划》。“十四五”期间，市中区将立足“十三五”以来生态环境保护发展基础，实现主要污染物排放总量明显减少，生态系统稳定性显著提高，人居环境进一步改善，环境管理体系、环境监管机制等生态环保制度法规体系进一步完善的目标，推进市中区绿色低碳高质量发展。</w:t>
      </w:r>
    </w:p>
    <w:p w14:paraId="5E19A6C9">
      <w:pPr>
        <w:pStyle w:val="8"/>
        <w:spacing w:before="182" w:line="360" w:lineRule="auto"/>
        <w:ind w:left="28" w:right="79" w:firstLine="464" w:firstLineChars="200"/>
        <w:rPr>
          <w:rFonts w:hint="eastAsia"/>
          <w:color w:val="333333"/>
          <w:spacing w:val="-4"/>
          <w:sz w:val="24"/>
          <w:szCs w:val="24"/>
          <w:lang w:eastAsia="zh-CN"/>
        </w:rPr>
      </w:pPr>
      <w:r>
        <w:rPr>
          <w:color w:val="333333"/>
          <w:spacing w:val="-4"/>
          <w:sz w:val="24"/>
          <w:szCs w:val="24"/>
          <w:lang w:eastAsia="zh-CN"/>
        </w:rPr>
        <w:t>到2025年，生态环境质量持续改善，国土空间开发和保护格局不断优化，生产生活方式绿色转型成效显著，能源资源配置更加合理、利用效率大幅提高，主要污染物排放总量持续减少，生态环境风险得到有效控制，环境治理体系与治理能力现代化取得重大进展，生态文明建设实现新进步，生态安全屏障更加牢固，城乡人居环境明显改善，美丽市中区建设取得新成效，国家生态文明建设示范区建设取得阶段性成果。到2030年，生态环境质量显著改善，国土空间开发利用格局持续优化，产业、能源、交通运输结构调整、布局调整和传统产业绿色转型取得明显成效，顺利实现碳达峰目标，环境治理体系和治理能力现代化显著增强，绿色低碳的生活生产方式初步形成，成功创建国家级生态文明建设示范区。到2035年，生态环境质量实现根本好转，绿色低碳循环发 展经济体系基本形成，环境治理能力和治理体系现代化基本完成，美丽宜居、安全健康、绿色低碳的“美丽市中区”基本实现。</w:t>
      </w:r>
    </w:p>
    <w:p w14:paraId="7C5AD982">
      <w:pPr>
        <w:pStyle w:val="8"/>
        <w:spacing w:before="182" w:line="360" w:lineRule="auto"/>
        <w:ind w:left="28" w:right="79" w:firstLine="586" w:firstLineChars="200"/>
        <w:outlineLvl w:val="1"/>
        <w:rPr>
          <w:rFonts w:hint="eastAsia"/>
          <w:b/>
          <w:bCs/>
          <w:spacing w:val="-4"/>
          <w:lang w:eastAsia="zh-CN"/>
        </w:rPr>
      </w:pPr>
      <w:bookmarkStart w:id="30" w:name="_Toc186468102"/>
      <w:r>
        <w:rPr>
          <w:rFonts w:hint="eastAsia"/>
          <w:b/>
          <w:bCs/>
          <w:spacing w:val="-4"/>
          <w:lang w:eastAsia="zh-CN"/>
        </w:rPr>
        <w:t>第四节</w:t>
      </w:r>
      <w:r>
        <w:rPr>
          <w:b/>
          <w:bCs/>
          <w:spacing w:val="-4"/>
          <w:lang w:eastAsia="zh-CN"/>
        </w:rPr>
        <w:t xml:space="preserve"> 建筑垃圾现状</w:t>
      </w:r>
      <w:bookmarkEnd w:id="30"/>
    </w:p>
    <w:p w14:paraId="025243FB">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建筑垃圾主要划分为五类，包括工程渣土、工程泥浆、工程垃圾、拆除垃圾和装修垃圾。五类建筑垃圾定义如下：</w:t>
      </w:r>
    </w:p>
    <w:p w14:paraId="2906A364">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工程渣土</w:t>
      </w:r>
      <w:bookmarkStart w:id="31" w:name="OLE_LINK27"/>
      <w:r>
        <w:rPr>
          <w:rFonts w:hint="eastAsia" w:ascii="宋体" w:hAnsi="宋体" w:eastAsia="宋体" w:cs="宋体"/>
          <w:color w:val="333333"/>
          <w:spacing w:val="-4"/>
          <w:sz w:val="24"/>
          <w:szCs w:val="24"/>
          <w:lang w:eastAsia="zh-CN"/>
        </w:rPr>
        <w:t>是指</w:t>
      </w:r>
      <w:bookmarkEnd w:id="31"/>
      <w:r>
        <w:rPr>
          <w:rFonts w:hint="eastAsia" w:ascii="宋体" w:hAnsi="宋体" w:eastAsia="宋体" w:cs="宋体"/>
          <w:color w:val="333333"/>
          <w:spacing w:val="-4"/>
          <w:sz w:val="24"/>
          <w:szCs w:val="24"/>
          <w:lang w:eastAsia="zh-CN"/>
        </w:rPr>
        <w:t>各类建（构）筑物、管网、道桥、水利设施等在建设过程中开挖土石方产生的弃土。</w:t>
      </w:r>
      <w:bookmarkStart w:id="32" w:name="OLE_LINK28"/>
      <w:r>
        <w:rPr>
          <w:rFonts w:hint="eastAsia" w:ascii="宋体" w:hAnsi="宋体" w:eastAsia="宋体" w:cs="宋体"/>
          <w:color w:val="333333"/>
          <w:spacing w:val="-4"/>
          <w:sz w:val="24"/>
          <w:szCs w:val="24"/>
          <w:lang w:eastAsia="zh-CN"/>
        </w:rPr>
        <w:t>主要产生于新开工工地。</w:t>
      </w:r>
      <w:bookmarkEnd w:id="32"/>
    </w:p>
    <w:p w14:paraId="7EB6F770">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工程泥浆是指各类建（构）筑物桩基础、基坑围护结构以及泥水盾构、管网暗挖等施工产生的废弃和剩余泥浆。主要产生于新开工工地。</w:t>
      </w:r>
    </w:p>
    <w:p w14:paraId="4C3F78CD">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工程垃圾是指各类建（构）筑物、管网、道桥、水利设施等在新建、改（扩）建过程中产生的混凝土、沥青混合料、砂浆、模板等弃料。主要产生于新开工工地。</w:t>
      </w:r>
    </w:p>
    <w:p w14:paraId="3A0A26B7">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拆除垃圾是指各类建（构）筑物、管网、道桥等在拆除过程中产生的混凝土、砂浆、砖瓦、陶瓷、石材、金属、木材等废弃物。主要产生于旧城改造区域以及涉及需求对现有建筑物、构筑物拆除的新建区域。</w:t>
      </w:r>
    </w:p>
    <w:p w14:paraId="327C16F1">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装修垃圾是指房屋装饰装修过程中产生的混凝土、砂浆、砖瓦、陶瓷、石材、石膏、加气混凝土砌块、金属、木材、玻璃、塑料、包装纸等废弃物。产生源较为分散，包括新建商品房、二次装修的住房、新开办的各类企业等。</w:t>
      </w:r>
    </w:p>
    <w:p w14:paraId="1A2079B8">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目前，夹江县已初步逐渐</w:t>
      </w:r>
      <w:r>
        <w:rPr>
          <w:rFonts w:ascii="宋体" w:hAnsi="宋体" w:eastAsia="宋体" w:cs="宋体"/>
          <w:color w:val="333333"/>
          <w:spacing w:val="-4"/>
          <w:sz w:val="24"/>
          <w:szCs w:val="24"/>
          <w:lang w:eastAsia="zh-CN"/>
        </w:rPr>
        <w:t>完善建筑垃圾处理规范制度，提升全县建筑垃圾全过程管理水平，形成全动态、全链条、全闭合的管理体系，将加速推进“无废城市”建设，改善城镇环境质量，推动循环经济和可持续发展。</w:t>
      </w:r>
    </w:p>
    <w:p w14:paraId="5F4D6EEB">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同时，</w:t>
      </w:r>
      <w:r>
        <w:rPr>
          <w:rFonts w:ascii="宋体" w:hAnsi="宋体" w:eastAsia="宋体" w:cs="宋体"/>
          <w:color w:val="333333"/>
          <w:spacing w:val="-4"/>
          <w:sz w:val="24"/>
          <w:szCs w:val="24"/>
          <w:lang w:eastAsia="zh-CN"/>
        </w:rPr>
        <w:t>夹江县住房城乡建设局不断提升建筑垃圾全过程管理水平，建立政府主导、社会参与、行业主管的管理体系，逐步实现建筑垃圾减量排放、规范清运、资源化利用和安全处置的工作目标</w:t>
      </w:r>
      <w:r>
        <w:rPr>
          <w:rFonts w:hint="eastAsia" w:ascii="宋体" w:hAnsi="宋体" w:eastAsia="宋体" w:cs="宋体"/>
          <w:color w:val="333333"/>
          <w:spacing w:val="-4"/>
          <w:sz w:val="24"/>
          <w:szCs w:val="24"/>
          <w:lang w:eastAsia="zh-CN"/>
        </w:rPr>
        <w:t>。</w:t>
      </w:r>
    </w:p>
    <w:p w14:paraId="7ABF03F2">
      <w:pPr>
        <w:pStyle w:val="8"/>
        <w:spacing w:before="182" w:line="360" w:lineRule="auto"/>
        <w:ind w:left="28" w:right="79" w:firstLine="586" w:firstLineChars="200"/>
        <w:outlineLvl w:val="1"/>
        <w:rPr>
          <w:rFonts w:hint="eastAsia"/>
          <w:b/>
          <w:bCs/>
          <w:spacing w:val="-4"/>
          <w:lang w:eastAsia="zh-CN"/>
        </w:rPr>
      </w:pPr>
      <w:bookmarkStart w:id="33" w:name="_Toc186468103"/>
      <w:r>
        <w:rPr>
          <w:rFonts w:hint="eastAsia"/>
          <w:b/>
          <w:bCs/>
          <w:spacing w:val="-4"/>
          <w:lang w:eastAsia="zh-CN"/>
        </w:rPr>
        <w:t>第五节</w:t>
      </w:r>
      <w:r>
        <w:rPr>
          <w:b/>
          <w:bCs/>
          <w:spacing w:val="-4"/>
          <w:lang w:eastAsia="zh-CN"/>
        </w:rPr>
        <w:t xml:space="preserve"> 产业发展现状</w:t>
      </w:r>
      <w:bookmarkEnd w:id="33"/>
    </w:p>
    <w:p w14:paraId="6E604C3A">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（一）运输企业现状</w:t>
      </w:r>
    </w:p>
    <w:p w14:paraId="76F10916">
      <w:pPr>
        <w:pStyle w:val="31"/>
        <w:spacing w:before="20" w:line="360" w:lineRule="auto"/>
        <w:ind w:firstLine="464" w:firstLineChars="200"/>
        <w:rPr>
          <w:rFonts w:hint="eastAsia"/>
          <w:color w:val="333333"/>
          <w:spacing w:val="-4"/>
          <w:sz w:val="24"/>
          <w:szCs w:val="24"/>
          <w:lang w:eastAsia="zh-CN"/>
        </w:rPr>
      </w:pPr>
      <w:r>
        <w:rPr>
          <w:color w:val="333333"/>
          <w:spacing w:val="-4"/>
          <w:sz w:val="24"/>
          <w:szCs w:val="24"/>
          <w:lang w:eastAsia="zh-CN"/>
        </w:rPr>
        <w:t>夹江县的建筑垃圾运输企业</w:t>
      </w:r>
      <w:r>
        <w:rPr>
          <w:rFonts w:hint="eastAsia"/>
          <w:color w:val="333333"/>
          <w:spacing w:val="-4"/>
          <w:sz w:val="24"/>
          <w:szCs w:val="24"/>
          <w:lang w:eastAsia="zh-CN"/>
        </w:rPr>
        <w:t>为：夹江县金木工程机械有限公司，四川芸和物业管理有限公司、乐山尘远建筑垃圾清运有限公司、夹江县开疆拓土工程机械设备有限公司，共有14辆运输车，年运输能力达到12万吨。</w:t>
      </w:r>
    </w:p>
    <w:p w14:paraId="6F176667">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（二）处置企业现状</w:t>
      </w:r>
    </w:p>
    <w:p w14:paraId="556874BD">
      <w:pPr>
        <w:pStyle w:val="31"/>
        <w:spacing w:before="20" w:line="360" w:lineRule="auto"/>
        <w:ind w:firstLine="464" w:firstLineChars="200"/>
        <w:rPr>
          <w:rFonts w:hint="eastAsia"/>
          <w:color w:val="333333"/>
          <w:spacing w:val="-4"/>
          <w:sz w:val="24"/>
          <w:szCs w:val="24"/>
          <w:lang w:eastAsia="zh-CN"/>
        </w:rPr>
      </w:pPr>
      <w:r>
        <w:rPr>
          <w:color w:val="333333"/>
          <w:spacing w:val="-4"/>
          <w:sz w:val="24"/>
          <w:szCs w:val="24"/>
          <w:lang w:eastAsia="zh-CN"/>
        </w:rPr>
        <w:t>夹江县</w:t>
      </w:r>
      <w:r>
        <w:rPr>
          <w:rFonts w:hint="eastAsia"/>
          <w:color w:val="333333"/>
          <w:spacing w:val="-4"/>
          <w:sz w:val="24"/>
          <w:szCs w:val="24"/>
          <w:lang w:eastAsia="zh-CN"/>
        </w:rPr>
        <w:t>现有1座建筑垃圾消纳场，由夹江县康云建筑垃圾处理有限公司投资建设，位于土门乡万福村1社，占地约23.5亩，垃圾填埋总库容100万立方米，已于2017年底建成投运</w:t>
      </w:r>
      <w:r>
        <w:rPr>
          <w:color w:val="333333"/>
          <w:spacing w:val="-4"/>
          <w:sz w:val="24"/>
          <w:szCs w:val="24"/>
          <w:lang w:eastAsia="zh-CN"/>
        </w:rPr>
        <w:t>。</w:t>
      </w:r>
      <w:r>
        <w:rPr>
          <w:rFonts w:hint="eastAsia"/>
          <w:color w:val="333333"/>
          <w:spacing w:val="-4"/>
          <w:sz w:val="24"/>
          <w:szCs w:val="24"/>
          <w:lang w:eastAsia="zh-CN"/>
        </w:rPr>
        <w:t>根据夹江县建筑垃圾增长量继续扩大规模。另外，用于工业固体废物处理的工业垃圾处理厂由该公司在建筑垃圾消纳场同一地点建设，也已经投运使用。</w:t>
      </w:r>
    </w:p>
    <w:p w14:paraId="2515204C">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此外，夹江县的白色垃圾运至光大环保能源（乐山）有限公司进行处理。光大环保能源（乐山）有限公司的乐山市城市生活垃圾环保发电项目于2019年5月11日建成投产。设计日焚烧处理城市生活垃圾1000吨，建设2x500吨/日的焚烧线及20WM汽轮机发电机组，项目年发电量为1.29亿度。</w:t>
      </w:r>
    </w:p>
    <w:p w14:paraId="7BEE15FC">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w:t>
      </w:r>
      <w:r>
        <w:rPr>
          <w:rFonts w:ascii="宋体" w:hAnsi="宋体" w:eastAsia="宋体"/>
          <w:b/>
          <w:bCs/>
          <w:spacing w:val="-5"/>
          <w:sz w:val="24"/>
          <w:szCs w:val="24"/>
          <w:lang w:eastAsia="zh-CN"/>
        </w:rPr>
        <w:t>再生产品类型</w:t>
      </w:r>
    </w:p>
    <w:p w14:paraId="44D8065D">
      <w:pPr>
        <w:spacing w:line="360" w:lineRule="auto"/>
        <w:ind w:firstLine="464" w:firstLineChars="200"/>
        <w:rPr>
          <w:rFonts w:hint="eastAsia" w:ascii="宋体" w:hAnsi="宋体" w:eastAsia="宋体" w:cs="宋体"/>
          <w:color w:val="333333"/>
          <w:spacing w:val="-4"/>
          <w:sz w:val="24"/>
          <w:szCs w:val="24"/>
          <w:lang w:eastAsia="zh-CN"/>
        </w:rPr>
      </w:pPr>
      <w:bookmarkStart w:id="34" w:name="OLE_LINK2"/>
      <w:r>
        <w:rPr>
          <w:rFonts w:hint="eastAsia" w:ascii="宋体" w:hAnsi="宋体" w:eastAsia="宋体" w:cs="宋体"/>
          <w:color w:val="333333"/>
          <w:spacing w:val="-4"/>
          <w:sz w:val="24"/>
          <w:szCs w:val="24"/>
          <w:lang w:eastAsia="zh-CN"/>
        </w:rPr>
        <w:t>位于土门乡万福村一组的夹江县峨威水泥有限公司</w:t>
      </w:r>
      <w:bookmarkEnd w:id="34"/>
      <w:r>
        <w:rPr>
          <w:rFonts w:hint="eastAsia" w:ascii="宋体" w:hAnsi="宋体" w:eastAsia="宋体" w:cs="宋体"/>
          <w:color w:val="333333"/>
          <w:spacing w:val="-4"/>
          <w:sz w:val="24"/>
          <w:szCs w:val="24"/>
          <w:lang w:eastAsia="zh-CN"/>
        </w:rPr>
        <w:t>，有效利用夹江县陶瓷工业窑炉废渣废料资源，年产60万吨复合水泥粉磨站（扩建后全厂年产120万吨水泥），该项目每年可利用陶瓷工业废渣及废料约20万吨。</w:t>
      </w:r>
    </w:p>
    <w:p w14:paraId="11B6C01B">
      <w:pPr>
        <w:pStyle w:val="8"/>
        <w:spacing w:before="182" w:line="360" w:lineRule="auto"/>
        <w:ind w:left="28" w:right="79" w:firstLine="586" w:firstLineChars="200"/>
        <w:outlineLvl w:val="1"/>
        <w:rPr>
          <w:rFonts w:hint="eastAsia"/>
          <w:b/>
          <w:bCs/>
          <w:spacing w:val="-4"/>
          <w:lang w:eastAsia="zh-CN"/>
        </w:rPr>
      </w:pPr>
      <w:bookmarkStart w:id="35" w:name="_Toc186468104"/>
      <w:r>
        <w:rPr>
          <w:rFonts w:hint="eastAsia"/>
          <w:b/>
          <w:bCs/>
          <w:spacing w:val="-4"/>
          <w:lang w:eastAsia="zh-CN"/>
        </w:rPr>
        <w:t>第六节</w:t>
      </w:r>
      <w:r>
        <w:rPr>
          <w:b/>
          <w:bCs/>
          <w:spacing w:val="-4"/>
          <w:lang w:eastAsia="zh-CN"/>
        </w:rPr>
        <w:t xml:space="preserve"> 现状主要问题</w:t>
      </w:r>
      <w:bookmarkEnd w:id="35"/>
    </w:p>
    <w:p w14:paraId="4175DF21">
      <w:pPr>
        <w:pStyle w:val="8"/>
        <w:spacing w:before="182" w:line="360" w:lineRule="auto"/>
        <w:ind w:left="28" w:right="79" w:firstLine="468" w:firstLineChars="200"/>
        <w:jc w:val="both"/>
        <w:rPr>
          <w:rFonts w:hint="eastAsia"/>
          <w:color w:val="auto"/>
          <w:spacing w:val="-3"/>
          <w:sz w:val="24"/>
          <w:szCs w:val="24"/>
          <w:lang w:eastAsia="zh-CN"/>
        </w:rPr>
      </w:pPr>
      <w:bookmarkStart w:id="36" w:name="OLE_LINK4"/>
      <w:r>
        <w:rPr>
          <w:color w:val="auto"/>
          <w:spacing w:val="-3"/>
          <w:sz w:val="24"/>
          <w:szCs w:val="24"/>
          <w:lang w:eastAsia="zh-CN"/>
        </w:rPr>
        <w:t>夹江县住房城乡建设局</w:t>
      </w:r>
      <w:bookmarkEnd w:id="36"/>
      <w:r>
        <w:rPr>
          <w:color w:val="auto"/>
          <w:spacing w:val="-3"/>
          <w:sz w:val="24"/>
          <w:szCs w:val="24"/>
          <w:lang w:eastAsia="zh-CN"/>
        </w:rPr>
        <w:t>在建筑垃圾管理方面采取了多项措施</w:t>
      </w:r>
      <w:r>
        <w:rPr>
          <w:rFonts w:hint="eastAsia"/>
          <w:color w:val="auto"/>
          <w:spacing w:val="-3"/>
          <w:sz w:val="24"/>
          <w:szCs w:val="24"/>
          <w:lang w:eastAsia="zh-CN"/>
        </w:rPr>
        <w:t>，</w:t>
      </w:r>
      <w:r>
        <w:rPr>
          <w:color w:val="auto"/>
          <w:spacing w:val="-3"/>
          <w:sz w:val="24"/>
          <w:szCs w:val="24"/>
          <w:lang w:eastAsia="zh-CN"/>
        </w:rPr>
        <w:t>强化垃圾清运工作，包括转运建筑垃圾至处理设施、回收利用和填埋处理。此外，夹江县住房城乡建设局还持续开展环卫工作，对建筑垃圾消纳场进行行业监管，确保规范运行。</w:t>
      </w:r>
    </w:p>
    <w:p w14:paraId="6993E1DC">
      <w:pPr>
        <w:spacing w:line="360" w:lineRule="auto"/>
        <w:ind w:firstLine="462" w:firstLineChars="200"/>
        <w:rPr>
          <w:rFonts w:hint="eastAsia" w:ascii="宋体" w:hAnsi="宋体" w:eastAsia="宋体"/>
          <w:b/>
          <w:bCs/>
          <w:spacing w:val="-5"/>
          <w:sz w:val="24"/>
          <w:szCs w:val="24"/>
          <w:lang w:eastAsia="zh-CN"/>
        </w:rPr>
      </w:pPr>
      <w:r>
        <w:rPr>
          <w:rFonts w:ascii="宋体" w:hAnsi="宋体" w:eastAsia="宋体"/>
          <w:b/>
          <w:bCs/>
          <w:spacing w:val="-5"/>
          <w:sz w:val="24"/>
          <w:szCs w:val="24"/>
          <w:lang w:eastAsia="zh-CN"/>
        </w:rPr>
        <w:t>（</w:t>
      </w:r>
      <w:r>
        <w:rPr>
          <w:rFonts w:hint="eastAsia" w:ascii="宋体" w:hAnsi="宋体" w:eastAsia="宋体"/>
          <w:b/>
          <w:bCs/>
          <w:spacing w:val="-5"/>
          <w:sz w:val="24"/>
          <w:szCs w:val="24"/>
          <w:lang w:eastAsia="zh-CN"/>
        </w:rPr>
        <w:t>一</w:t>
      </w:r>
      <w:r>
        <w:rPr>
          <w:rFonts w:ascii="宋体" w:hAnsi="宋体" w:eastAsia="宋体"/>
          <w:b/>
          <w:bCs/>
          <w:spacing w:val="-5"/>
          <w:sz w:val="24"/>
          <w:szCs w:val="24"/>
          <w:lang w:eastAsia="zh-CN"/>
        </w:rPr>
        <w:t>）</w:t>
      </w:r>
      <w:r>
        <w:rPr>
          <w:rFonts w:hint="eastAsia" w:ascii="宋体" w:hAnsi="宋体" w:eastAsia="宋体"/>
          <w:b/>
          <w:bCs/>
          <w:spacing w:val="-5"/>
          <w:sz w:val="24"/>
          <w:szCs w:val="24"/>
          <w:lang w:eastAsia="zh-CN"/>
        </w:rPr>
        <w:t>夹江县建筑垃圾分类管理体系亟待完善</w:t>
      </w:r>
    </w:p>
    <w:p w14:paraId="694CB75F">
      <w:pPr>
        <w:spacing w:line="360" w:lineRule="auto"/>
        <w:ind w:firstLine="468" w:firstLineChars="20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目前，夹江县建筑垃圾的分类管理体系相对较弱。</w:t>
      </w:r>
      <w:r>
        <w:rPr>
          <w:rFonts w:ascii="宋体" w:hAnsi="宋体" w:eastAsia="宋体" w:cs="宋体"/>
          <w:color w:val="auto"/>
          <w:spacing w:val="-3"/>
          <w:sz w:val="24"/>
          <w:szCs w:val="24"/>
          <w:lang w:eastAsia="zh-CN"/>
        </w:rPr>
        <w:t>乱堆乱倒建筑垃圾的违法行为多数发生在城郊地区，且多在夜间进行，时间较随意。当执法人员获得线索赶到现场时，往往人影无踪，不能有效锁定违法行为人，从而无法要求行为人进行整改和作出行政处罚。</w:t>
      </w:r>
      <w:r>
        <w:rPr>
          <w:rFonts w:hint="eastAsia" w:ascii="宋体" w:hAnsi="宋体" w:eastAsia="宋体" w:cs="宋体"/>
          <w:color w:val="auto"/>
          <w:spacing w:val="-3"/>
          <w:sz w:val="24"/>
          <w:szCs w:val="24"/>
          <w:lang w:eastAsia="zh-CN"/>
        </w:rPr>
        <w:t>另外，施工单位产生的建筑垃圾并没有进行严格的分类管理，不同类型的建筑垃圾往往被混合收集，这不仅增加了建筑垃圾的运输难度，还容易在运输过程中发生泄漏，对道路和周边环境造成二次污染。</w:t>
      </w:r>
    </w:p>
    <w:p w14:paraId="19830738">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（二）夹江县建筑垃圾收运体系亟待健全</w:t>
      </w:r>
    </w:p>
    <w:p w14:paraId="122E97F5">
      <w:pPr>
        <w:spacing w:line="360" w:lineRule="auto"/>
        <w:ind w:firstLine="468" w:firstLineChars="20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夹江县建筑垃圾的收运体系尚不完善，</w:t>
      </w:r>
      <w:r>
        <w:rPr>
          <w:rFonts w:ascii="宋体" w:hAnsi="宋体" w:eastAsia="宋体" w:cs="宋体"/>
          <w:color w:val="auto"/>
          <w:spacing w:val="-3"/>
          <w:sz w:val="24"/>
          <w:szCs w:val="24"/>
          <w:lang w:eastAsia="zh-CN"/>
        </w:rPr>
        <w:t>导致</w:t>
      </w:r>
      <w:r>
        <w:rPr>
          <w:rFonts w:hint="eastAsia" w:ascii="宋体" w:hAnsi="宋体" w:eastAsia="宋体" w:cs="宋体"/>
          <w:color w:val="auto"/>
          <w:spacing w:val="-3"/>
          <w:sz w:val="24"/>
          <w:szCs w:val="24"/>
          <w:lang w:eastAsia="zh-CN"/>
        </w:rPr>
        <w:t>部分城区的</w:t>
      </w:r>
      <w:r>
        <w:rPr>
          <w:rFonts w:ascii="宋体" w:hAnsi="宋体" w:eastAsia="宋体" w:cs="宋体"/>
          <w:color w:val="auto"/>
          <w:spacing w:val="-3"/>
          <w:sz w:val="24"/>
          <w:szCs w:val="24"/>
          <w:lang w:eastAsia="zh-CN"/>
        </w:rPr>
        <w:t>运输单位和新建（拆除）项目无法办理相关手续，只能进行简单备案</w:t>
      </w:r>
      <w:r>
        <w:rPr>
          <w:rFonts w:hint="eastAsia" w:ascii="宋体" w:hAnsi="宋体" w:eastAsia="宋体" w:cs="宋体"/>
          <w:color w:val="auto"/>
          <w:spacing w:val="-3"/>
          <w:sz w:val="24"/>
          <w:szCs w:val="24"/>
          <w:lang w:eastAsia="zh-CN"/>
        </w:rPr>
        <w:t>。部分偏远城区存在收运盲区，导致建筑垃圾在这些区域滞留时间过长，甚至被随意倾倒。另外，现有收运车辆和人员数量有限，收运车辆常常处于满载状态，难以满足日益增长的建筑垃圾处理需求。</w:t>
      </w:r>
    </w:p>
    <w:p w14:paraId="684E000E">
      <w:pPr>
        <w:pStyle w:val="8"/>
        <w:spacing w:before="182" w:line="360" w:lineRule="auto"/>
        <w:ind w:right="79"/>
        <w:rPr>
          <w:rFonts w:hint="eastAsia"/>
          <w:lang w:eastAsia="zh-CN"/>
        </w:rPr>
        <w:sectPr>
          <w:headerReference r:id="rId5" w:type="default"/>
          <w:footerReference r:id="rId6" w:type="default"/>
          <w:pgSz w:w="11906" w:h="16839"/>
          <w:pgMar w:top="1225" w:right="1332" w:bottom="1225" w:left="1786" w:header="850" w:footer="850" w:gutter="0"/>
          <w:pgNumType w:fmt="numberInDash"/>
          <w:cols w:space="720" w:num="1"/>
          <w:docGrid w:linePitch="286" w:charSpace="0"/>
        </w:sectPr>
      </w:pPr>
    </w:p>
    <w:p w14:paraId="5EDC5E4B">
      <w:pPr>
        <w:pStyle w:val="8"/>
        <w:spacing w:before="182" w:line="360" w:lineRule="auto"/>
        <w:ind w:left="28" w:right="79"/>
        <w:jc w:val="center"/>
        <w:outlineLvl w:val="0"/>
        <w:rPr>
          <w:rFonts w:hint="eastAsia"/>
          <w:sz w:val="31"/>
          <w:szCs w:val="31"/>
          <w:lang w:eastAsia="zh-CN"/>
        </w:rPr>
      </w:pPr>
      <w:bookmarkStart w:id="37" w:name="bookmark42"/>
      <w:bookmarkEnd w:id="37"/>
      <w:bookmarkStart w:id="38" w:name="bookmark41"/>
      <w:bookmarkEnd w:id="38"/>
      <w:bookmarkStart w:id="39" w:name="_Toc186468105"/>
      <w:r>
        <w:rPr>
          <w:rFonts w:hint="eastAsia"/>
          <w:b/>
          <w:bCs/>
          <w:spacing w:val="-5"/>
          <w:sz w:val="31"/>
          <w:szCs w:val="31"/>
          <w:lang w:eastAsia="zh-CN"/>
        </w:rPr>
        <w:t>第二章</w:t>
      </w:r>
      <w:r>
        <w:rPr>
          <w:rFonts w:ascii="Times New Roman" w:hAnsi="Times New Roman" w:eastAsia="Times New Roman" w:cs="Times New Roman"/>
          <w:b/>
          <w:bCs/>
          <w:spacing w:val="6"/>
          <w:sz w:val="31"/>
          <w:szCs w:val="31"/>
          <w:lang w:eastAsia="zh-CN"/>
        </w:rPr>
        <w:t xml:space="preserve">  </w:t>
      </w:r>
      <w:r>
        <w:rPr>
          <w:rFonts w:ascii="黑体" w:hAnsi="黑体" w:eastAsia="黑体" w:cs="黑体"/>
          <w:spacing w:val="7"/>
          <w:sz w:val="31"/>
          <w:szCs w:val="31"/>
          <w:lang w:eastAsia="zh-CN"/>
        </w:rPr>
        <w:t>规划总则</w:t>
      </w:r>
      <w:bookmarkEnd w:id="39"/>
    </w:p>
    <w:p w14:paraId="471A4960">
      <w:pPr>
        <w:pStyle w:val="8"/>
        <w:spacing w:before="182" w:line="360" w:lineRule="auto"/>
        <w:ind w:left="28" w:right="79" w:firstLine="586" w:firstLineChars="200"/>
        <w:outlineLvl w:val="1"/>
        <w:rPr>
          <w:rFonts w:hint="eastAsia"/>
          <w:lang w:eastAsia="zh-CN"/>
        </w:rPr>
      </w:pPr>
      <w:bookmarkStart w:id="40" w:name="bookmark44"/>
      <w:bookmarkEnd w:id="40"/>
      <w:bookmarkStart w:id="41" w:name="bookmark43"/>
      <w:bookmarkEnd w:id="41"/>
      <w:bookmarkStart w:id="42" w:name="_Toc186468106"/>
      <w:r>
        <w:rPr>
          <w:rFonts w:hint="eastAsia"/>
          <w:b/>
          <w:bCs/>
          <w:spacing w:val="-4"/>
          <w:lang w:eastAsia="zh-CN"/>
        </w:rPr>
        <w:t>第一节</w:t>
      </w:r>
      <w:r>
        <w:rPr>
          <w:spacing w:val="-4"/>
          <w:lang w:eastAsia="zh-CN"/>
        </w:rPr>
        <w:t xml:space="preserve"> </w:t>
      </w:r>
      <w:r>
        <w:rPr>
          <w:rFonts w:hint="eastAsia"/>
          <w:b/>
          <w:bCs/>
          <w:spacing w:val="-4"/>
          <w:lang w:eastAsia="zh-CN"/>
        </w:rPr>
        <w:t>指导思想</w:t>
      </w:r>
      <w:bookmarkEnd w:id="42"/>
    </w:p>
    <w:p w14:paraId="55A352B4">
      <w:pPr>
        <w:pStyle w:val="8"/>
        <w:spacing w:before="232" w:line="360" w:lineRule="auto"/>
        <w:ind w:left="17" w:right="7" w:firstLine="464" w:firstLineChars="200"/>
        <w:rPr>
          <w:rFonts w:hint="eastAsia"/>
          <w:color w:val="333333"/>
          <w:spacing w:val="-4"/>
          <w:sz w:val="24"/>
          <w:szCs w:val="24"/>
          <w:lang w:eastAsia="zh-CN"/>
        </w:rPr>
      </w:pPr>
      <w:r>
        <w:rPr>
          <w:rFonts w:hint="eastAsia"/>
          <w:color w:val="333333"/>
          <w:spacing w:val="-4"/>
          <w:sz w:val="24"/>
          <w:szCs w:val="24"/>
          <w:lang w:eastAsia="zh-CN"/>
        </w:rPr>
        <w:t>2021年11月，《中共中央国务院关于深入打好污染防治攻坚战的意见》印发实施，明确提出要稳步推进“无废城市”建设。为指导地方做好“十四五”时期“无废城市”建设工作，在总结改革试点经验基础上，制定本方案。以习近平新时代中国特色社会主义思想为指导，全面贯彻党的十九大和十九届二中、三中、四中、五中、六中全会精神，深入贯彻习近平生态文明思想，立足新发展阶段、贯彻新发展理念、构建新发展格局、实现高质量发展，统筹城市发展与固体废物管理，强化制度、技术、市场、监管等保障体系建设，大力推进减量化、资源化、无害化，发挥减污降碳协同效应，提升城市精细化管理水平，推动城市全面绿色转型，为深入打好污染防治攻坚战、推动实现碳达峰碳中和、建设美丽中国作出贡献。</w:t>
      </w:r>
    </w:p>
    <w:p w14:paraId="147A94E2">
      <w:pPr>
        <w:pStyle w:val="8"/>
        <w:spacing w:before="182" w:line="360" w:lineRule="auto"/>
        <w:ind w:left="28" w:right="79" w:firstLine="586" w:firstLineChars="200"/>
        <w:outlineLvl w:val="1"/>
        <w:rPr>
          <w:rFonts w:hint="eastAsia"/>
          <w:lang w:eastAsia="zh-CN"/>
        </w:rPr>
      </w:pPr>
      <w:bookmarkStart w:id="43" w:name="bookmark51"/>
      <w:bookmarkEnd w:id="43"/>
      <w:bookmarkStart w:id="44" w:name="bookmark52"/>
      <w:bookmarkEnd w:id="44"/>
      <w:bookmarkStart w:id="45" w:name="bookmark54"/>
      <w:bookmarkEnd w:id="45"/>
      <w:bookmarkStart w:id="46" w:name="_Toc186468107"/>
      <w:r>
        <w:rPr>
          <w:rFonts w:hint="eastAsia"/>
          <w:b/>
          <w:bCs/>
          <w:spacing w:val="-4"/>
          <w:lang w:eastAsia="zh-CN"/>
        </w:rPr>
        <w:t>第二节</w:t>
      </w:r>
      <w:r>
        <w:rPr>
          <w:spacing w:val="-4"/>
          <w:lang w:eastAsia="zh-CN"/>
        </w:rPr>
        <w:t xml:space="preserve"> </w:t>
      </w:r>
      <w:r>
        <w:rPr>
          <w:b/>
          <w:bCs/>
          <w:spacing w:val="-4"/>
          <w:lang w:eastAsia="zh-CN"/>
        </w:rPr>
        <w:t>规划原则</w:t>
      </w:r>
      <w:bookmarkEnd w:id="46"/>
    </w:p>
    <w:p w14:paraId="1EED4849">
      <w:pPr>
        <w:spacing w:line="360" w:lineRule="auto"/>
        <w:ind w:firstLine="480"/>
        <w:rPr>
          <w:rFonts w:hint="eastAsia" w:ascii="宋体" w:hAnsi="宋体" w:eastAsia="宋体"/>
          <w:b/>
          <w:bCs/>
          <w:spacing w:val="-5"/>
          <w:sz w:val="24"/>
          <w:szCs w:val="24"/>
          <w:lang w:eastAsia="zh-CN"/>
        </w:rPr>
      </w:pPr>
      <w:bookmarkStart w:id="47" w:name="bookmark53"/>
      <w:bookmarkEnd w:id="47"/>
      <w:r>
        <w:rPr>
          <w:rFonts w:hint="eastAsia" w:ascii="宋体" w:hAnsi="宋体" w:eastAsia="宋体"/>
          <w:b/>
          <w:bCs/>
          <w:spacing w:val="-5"/>
          <w:sz w:val="24"/>
          <w:szCs w:val="24"/>
          <w:lang w:eastAsia="zh-CN"/>
        </w:rPr>
        <w:t>（一）政府引导，市场推动。</w:t>
      </w:r>
    </w:p>
    <w:p w14:paraId="5918BDAA">
      <w:pPr>
        <w:spacing w:line="360" w:lineRule="auto"/>
        <w:ind w:firstLine="464" w:firstLineChars="20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充分利用政策、规划和标准规范市场行为，发挥市场配置资源的基础性作用，营造有利于建筑垃圾资源化利用的市场环境，激发市场主体推动产业拓展、升级的内生动力。</w:t>
      </w:r>
    </w:p>
    <w:p w14:paraId="28BC00CA">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（二）源头减量，分类处置。</w:t>
      </w:r>
    </w:p>
    <w:p w14:paraId="25310DFB">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实施绿色策划、绿色设计、绿色施工，推进建筑产业现代化进程，规范工程建设、拆除行为，减少建筑垃圾产生，实施分类收集处置。</w:t>
      </w:r>
    </w:p>
    <w:p w14:paraId="00867ECE">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（三）增量控制，存量治理。</w:t>
      </w:r>
    </w:p>
    <w:p w14:paraId="65F22D40">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加强全局性谋划、战略性布局、整体性推进，规范建筑垃圾产生、收集、贮存、运输、利用和处置环节，通过源头减量、分类处置等手段实现建筑垃圾的增量控制，同步加快对存量建筑垃圾的处理与处置，实现建筑垃圾分布、规模、收运、效益、安全协调统一。</w:t>
      </w:r>
    </w:p>
    <w:p w14:paraId="2C5DE6DB">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（四）资源利用，无害处理。</w:t>
      </w:r>
    </w:p>
    <w:p w14:paraId="16BECCA4">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科学选择建筑垃圾资源化利用模式，因地制宜布局移动式资源化利用设备和工厂式建筑垃圾处置厂。完善再生产品市场推广机制，拓宽应用领域，减少对自然资源的开采，构建绿色、低碳、循环发展的经济体系。</w:t>
      </w:r>
    </w:p>
    <w:p w14:paraId="2C4F532F">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（五）协调对接原则。</w:t>
      </w:r>
    </w:p>
    <w:p w14:paraId="30BD61A2">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与夹江县总体规划、区域控制性规划、国土空间规划、土地利用规划、近期建设规划协调一致。</w:t>
      </w:r>
    </w:p>
    <w:p w14:paraId="10971B75">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（六）科学发展原则。</w:t>
      </w:r>
    </w:p>
    <w:p w14:paraId="6C574436">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满足可持续发展要求，环卫设施的建设与使用要体现社会、环境、经济效益的协调统一。</w:t>
      </w:r>
    </w:p>
    <w:p w14:paraId="35B4883A">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（七）统筹安排、适度超前原则。</w:t>
      </w:r>
    </w:p>
    <w:p w14:paraId="6AE0CCF1">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全市统筹、合理布局，一次规划、分步实施，规划方案远近结合、适度超前、近期为主。</w:t>
      </w:r>
    </w:p>
    <w:p w14:paraId="0EA9D6ED">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（八）资源共享原则。</w:t>
      </w:r>
    </w:p>
    <w:p w14:paraId="4D23272C">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优化资源配置，实现环境卫生基础设施区域共享。</w:t>
      </w:r>
    </w:p>
    <w:p w14:paraId="403BF7FF">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（九）实事求是、因地制宜原则。</w:t>
      </w:r>
    </w:p>
    <w:p w14:paraId="58A292EF">
      <w:pPr>
        <w:spacing w:line="360" w:lineRule="auto"/>
        <w:ind w:firstLine="480"/>
        <w:rPr>
          <w:rFonts w:hint="eastAsia" w:ascii="宋体" w:hAnsi="宋体" w:eastAsia="宋体" w:cs="宋体"/>
          <w:color w:val="333333"/>
          <w:spacing w:val="-4"/>
          <w:sz w:val="24"/>
          <w:szCs w:val="24"/>
          <w:lang w:eastAsia="zh-CN"/>
        </w:rPr>
      </w:pPr>
      <w:r>
        <w:rPr>
          <w:rFonts w:hint="eastAsia" w:ascii="宋体" w:hAnsi="宋体" w:eastAsia="宋体" w:cs="宋体"/>
          <w:color w:val="333333"/>
          <w:spacing w:val="-4"/>
          <w:sz w:val="24"/>
          <w:szCs w:val="24"/>
          <w:lang w:eastAsia="zh-CN"/>
        </w:rPr>
        <w:t>结合目前夹江县环卫体系的主要问题来进行设施规划和系统功能布局，力求经济合理、安全高效。</w:t>
      </w:r>
    </w:p>
    <w:p w14:paraId="6647B3A1">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（十）生态优先、减量利用原则。</w:t>
      </w:r>
    </w:p>
    <w:p w14:paraId="6FEBAD65">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进一步加快转运站、建筑垃圾资源化利用厂等设施全面建设，优化处理结构。与此同时，夹江县将继续推进生活垃圾分类，促进源头减量与末端安全处置。</w:t>
      </w:r>
    </w:p>
    <w:p w14:paraId="60B240EB">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（十一）合理布局、用地集约原则。</w:t>
      </w:r>
    </w:p>
    <w:p w14:paraId="36923264">
      <w:pPr>
        <w:spacing w:line="360" w:lineRule="auto"/>
        <w:ind w:firstLine="48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依据夹江县城市规划，结合环卫设施现状及建设相关进展，科学合理确定环卫设施的数量、规模及布局。此外，为有利于环卫设施落地，宜将环卫设施合并建设或与其他市政设施合建，减少用地、集中控制。</w:t>
      </w:r>
    </w:p>
    <w:p w14:paraId="277D24A6">
      <w:pPr>
        <w:pStyle w:val="8"/>
        <w:spacing w:before="182" w:line="360" w:lineRule="auto"/>
        <w:ind w:left="28" w:right="79" w:firstLine="586" w:firstLineChars="200"/>
        <w:outlineLvl w:val="1"/>
        <w:rPr>
          <w:rFonts w:hint="eastAsia"/>
          <w:lang w:eastAsia="zh-CN"/>
        </w:rPr>
      </w:pPr>
      <w:bookmarkStart w:id="48" w:name="bookmark59"/>
      <w:bookmarkEnd w:id="48"/>
      <w:bookmarkStart w:id="49" w:name="bookmark56"/>
      <w:bookmarkEnd w:id="49"/>
      <w:bookmarkStart w:id="50" w:name="bookmark60"/>
      <w:bookmarkEnd w:id="50"/>
      <w:bookmarkStart w:id="51" w:name="bookmark62"/>
      <w:bookmarkEnd w:id="51"/>
      <w:bookmarkStart w:id="52" w:name="bookmark55"/>
      <w:bookmarkEnd w:id="52"/>
      <w:bookmarkStart w:id="53" w:name="_Toc186468108"/>
      <w:r>
        <w:rPr>
          <w:rFonts w:hint="eastAsia"/>
          <w:b/>
          <w:bCs/>
          <w:spacing w:val="-4"/>
          <w:lang w:eastAsia="zh-CN"/>
        </w:rPr>
        <w:t>第三节</w:t>
      </w:r>
      <w:r>
        <w:rPr>
          <w:spacing w:val="-4"/>
          <w:lang w:eastAsia="zh-CN"/>
        </w:rPr>
        <w:t xml:space="preserve"> </w:t>
      </w:r>
      <w:r>
        <w:rPr>
          <w:rFonts w:hint="eastAsia"/>
          <w:b/>
          <w:bCs/>
          <w:spacing w:val="-4"/>
          <w:lang w:eastAsia="zh-CN"/>
        </w:rPr>
        <w:t>规划依据</w:t>
      </w:r>
      <w:bookmarkEnd w:id="53"/>
    </w:p>
    <w:p w14:paraId="52B65819">
      <w:pPr>
        <w:spacing w:line="360" w:lineRule="auto"/>
        <w:ind w:firstLine="462" w:firstLineChars="200"/>
        <w:rPr>
          <w:rFonts w:hint="eastAsia" w:ascii="宋体" w:hAnsi="宋体" w:eastAsia="宋体"/>
          <w:b/>
          <w:bCs/>
          <w:spacing w:val="-5"/>
          <w:sz w:val="24"/>
          <w:szCs w:val="24"/>
          <w:lang w:eastAsia="zh-CN"/>
        </w:rPr>
      </w:pPr>
      <w:bookmarkStart w:id="54" w:name="bookmark61"/>
      <w:bookmarkEnd w:id="54"/>
      <w:r>
        <w:rPr>
          <w:rFonts w:hint="eastAsia" w:ascii="宋体" w:hAnsi="宋体" w:eastAsia="宋体"/>
          <w:b/>
          <w:bCs/>
          <w:spacing w:val="-5"/>
          <w:sz w:val="24"/>
          <w:szCs w:val="24"/>
          <w:lang w:eastAsia="zh-CN"/>
        </w:rPr>
        <w:t>（一）法律法规</w:t>
      </w:r>
    </w:p>
    <w:p w14:paraId="0B99638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（1）《中华人民共和国循环经济促进法》（2018年修正）；</w:t>
      </w:r>
    </w:p>
    <w:p w14:paraId="168B838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（2）《中华人民共和国环境保护法》（2014年4 月24日修订，2015年1月1日起施行）；</w:t>
      </w:r>
    </w:p>
    <w:p w14:paraId="01411A2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（3）《中华人民共和国城乡规划法》（2019年4月23日第二次修正）；</w:t>
      </w:r>
    </w:p>
    <w:p w14:paraId="3994EA50">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（4）《中华人民共和国固体废物污染环境防治法》（2020年4月29日修订，2020年9月1日起施行）；</w:t>
      </w:r>
    </w:p>
    <w:p w14:paraId="20EDD5FC">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（5）《中华人民共和国土地管理法》（2021年9月1日起施行）；</w:t>
      </w:r>
    </w:p>
    <w:p w14:paraId="5F36D819">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（6）《中华人民共和国大气污染防治法》(2017年6月27日修正)；</w:t>
      </w:r>
    </w:p>
    <w:p w14:paraId="560D0FB9">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（7）《城市建筑垃圾管理规定》（2005）；</w:t>
      </w:r>
    </w:p>
    <w:p w14:paraId="4E21017A">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（8）《城市市容和环境卫生管理条例》（国务院令第 101 号，2017年3月1日第二次修订）；</w:t>
      </w:r>
    </w:p>
    <w:p w14:paraId="634273EB">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（9）《四川省城市建筑垃圾管理办法》（2024）；</w:t>
      </w:r>
    </w:p>
    <w:p w14:paraId="0765ECF8">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（10）《四川省固体废物污染环境防治条例》（2022）；</w:t>
      </w:r>
    </w:p>
    <w:p w14:paraId="6C409D7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（11）《四川省城乡环境综合治理条例》（2019）；</w:t>
      </w:r>
    </w:p>
    <w:p w14:paraId="0EAC4306">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（二）规范性文件</w:t>
      </w:r>
    </w:p>
    <w:p w14:paraId="351E7ED5">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（1）《城市规划编制办法》(建设部令第146号)；</w:t>
      </w:r>
    </w:p>
    <w:p w14:paraId="6DF48EE3">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（2）《国务院关于加快发展循环经济的若干意见》（国发〔2005〕22号）；</w:t>
      </w:r>
    </w:p>
    <w:p w14:paraId="5A1A8EAD">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（3）《国务院关于加快推进生态文明建设的意见》（2015年4月）；</w:t>
      </w:r>
    </w:p>
    <w:p w14:paraId="47E0788F">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（4）《住房和城乡建设部关于推进建筑垃圾减量化的指导意见》（建质〔2020〕46号）；</w:t>
      </w:r>
    </w:p>
    <w:p w14:paraId="097DED81">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（5）《关于加强城市建筑垃圾管理与资源化利用的指导意见》（川建行规〔2020〕9号）；</w:t>
      </w:r>
    </w:p>
    <w:p w14:paraId="3F0D2263">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（6）《关于进一步规范城市建筑垃圾处置核准有关事项的通知》（征求意见稿）；</w:t>
      </w:r>
    </w:p>
    <w:p w14:paraId="75ED167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（7）《四川省城市建筑垃圾处置及资源化利用行动方案》（2024）；</w:t>
      </w:r>
    </w:p>
    <w:p w14:paraId="2383BFA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（8）《“无废城市”建设指标体系（试行）》（2019）；</w:t>
      </w:r>
    </w:p>
    <w:p w14:paraId="105C3D3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（9）《住房城乡建设部关于推进建筑垃圾减量化的指导意见》（建质〔2020〕46 号）；</w:t>
      </w:r>
    </w:p>
    <w:p w14:paraId="3DA52EC3">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（10）《“十四五”时期“无废城市”建设工作方案》（环固体〔2021〕114号）；</w:t>
      </w:r>
    </w:p>
    <w:p w14:paraId="04FFC922">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（11）《关于“十四五”大宗固体废弃物综合利用的指导意见》（发改环资〔2021〕381号）；</w:t>
      </w:r>
    </w:p>
    <w:p w14:paraId="63D3CC1B">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（12）《“十四五”全国城市基础设施建设规划》（建城〔2022〕57号）；</w:t>
      </w:r>
    </w:p>
    <w:p w14:paraId="4F4A0ED6">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（13）《环境基础设施建设水平提升行动（2023—2025 年）》（发改环资〔2023〕1046号）；</w:t>
      </w:r>
    </w:p>
    <w:p w14:paraId="2449E986">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（14）《四川省城市建筑垃圾处置及资源化利用行动方案》（川建行规〔2024〕12号）；</w:t>
      </w:r>
    </w:p>
    <w:p w14:paraId="1DF08E4F">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（三）标准规范</w:t>
      </w:r>
    </w:p>
    <w:p w14:paraId="044FAA79">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（1）《建筑垃圾处理技术标准》（CJJ/T134-2019）；</w:t>
      </w:r>
    </w:p>
    <w:p w14:paraId="7F4BA64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（2）《生活垃圾填埋场污染控制标准》（GB16889-2024）；</w:t>
      </w:r>
    </w:p>
    <w:p w14:paraId="1436756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（3）《四川省建筑垃圾资源化利用及处置场所建设标准》（DBJ51/T230-2023）；</w:t>
      </w:r>
    </w:p>
    <w:p w14:paraId="08424C62">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（4）《城市环境卫生设施规划标准》（GB/T50337-2018）；</w:t>
      </w:r>
    </w:p>
    <w:p w14:paraId="7278F0EA">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（5）《环境卫生设施设置标准》（CJJ27-2012)；</w:t>
      </w:r>
    </w:p>
    <w:p w14:paraId="24BF2C62">
      <w:pPr>
        <w:spacing w:line="360" w:lineRule="auto"/>
        <w:ind w:firstLine="464" w:firstLineChars="200"/>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（6）《建筑垃圾再生工厂设计标准》（GB51322-2018）；</w:t>
      </w:r>
    </w:p>
    <w:p w14:paraId="10A4DEA5">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（7）《固定式建筑垃圾处置技术规程》（JC/T2546-2019）；</w:t>
      </w:r>
    </w:p>
    <w:p w14:paraId="24DCE363">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（8）《环境卫生图形符号标准CJJ/T 125-2021》；</w:t>
      </w:r>
    </w:p>
    <w:p w14:paraId="19C5032E">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（9）《混凝土和砂浆用再生细骨料》（GB/T 25176-2010）；</w:t>
      </w:r>
    </w:p>
    <w:p w14:paraId="3617B568">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（10）《混凝土用再生粗骨料》（GB/T 25177-2010）；</w:t>
      </w:r>
    </w:p>
    <w:p w14:paraId="46972B60">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（11）《工程施工废弃物再生利用技术规范》（GB/T 50743-2012）；</w:t>
      </w:r>
    </w:p>
    <w:p w14:paraId="3067DE7D">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（12）《一般工业固体废物贮存和污染控制标准》（GB 18599-2020）；</w:t>
      </w:r>
    </w:p>
    <w:p w14:paraId="1BCF285F">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（13）《再生骨料地面砖和透水砖》（CJ/T 400-2012）；</w:t>
      </w:r>
    </w:p>
    <w:p w14:paraId="754C7882">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（14）《再生骨料透水混凝土应用技术规程》（CJJ/T 253-2016）；</w:t>
      </w:r>
    </w:p>
    <w:p w14:paraId="11B815AE">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（15）《环境空气质量标准》(GB3095-2012)；</w:t>
      </w:r>
    </w:p>
    <w:p w14:paraId="5E2470D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（16）《恶臭污染物排放标准》(GB14554-1993)；</w:t>
      </w:r>
    </w:p>
    <w:p w14:paraId="37094CD5">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（17）《市容环境卫生术语标准》(CJJ/T65-2004)；</w:t>
      </w:r>
    </w:p>
    <w:p w14:paraId="7AD55CB8">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（18）</w:t>
      </w:r>
      <w:r>
        <w:rPr>
          <w:rFonts w:ascii="宋体" w:hAnsi="宋体" w:eastAsia="宋体" w:cs="宋体"/>
          <w:spacing w:val="-4"/>
          <w:sz w:val="24"/>
          <w:szCs w:val="24"/>
          <w:lang w:eastAsia="zh-CN"/>
        </w:rPr>
        <w:t>《环境卫生图形符号标准》（CJJ/T125—2021）；</w:t>
      </w:r>
    </w:p>
    <w:p w14:paraId="6652FAC6">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（19）《建筑垃圾处理场设置规范》（CG059—2021）；</w:t>
      </w:r>
    </w:p>
    <w:p w14:paraId="3EF3ECF0">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（20）《建筑垃圾就地分类及处理技术标准》（征求意见稿）；</w:t>
      </w:r>
    </w:p>
    <w:p w14:paraId="7B2667CD">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（21）《建筑垃圾处理专项规划导则》(T/CECS 1320-2023)；</w:t>
      </w:r>
    </w:p>
    <w:p w14:paraId="01FA6EDC">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（22）《建筑垃圾监测与污染控制技术规程》（T/CECS 1395-2023）；</w:t>
      </w:r>
    </w:p>
    <w:p w14:paraId="113794A7">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（23）《建筑垃圾再生产品信息化管理技术规程》（T/CECS 1186-2022）；</w:t>
      </w:r>
    </w:p>
    <w:p w14:paraId="1EBB2D00">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（24）《含建筑垃圾骨料再生沥青混合料应用技术规范》（T/TMAC 081-2023）；</w:t>
      </w:r>
    </w:p>
    <w:p w14:paraId="1D860249">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（25）《建筑垃圾分类收集技术规程》（T/CECS 1267-2023</w:t>
      </w:r>
      <w:r>
        <w:rPr>
          <w:rFonts w:hint="eastAsia" w:ascii="宋体" w:hAnsi="宋体" w:eastAsia="宋体" w:cs="宋体"/>
          <w:spacing w:val="-4"/>
          <w:sz w:val="24"/>
          <w:szCs w:val="24"/>
          <w:lang w:eastAsia="zh-CN"/>
        </w:rPr>
        <w:tab/>
      </w:r>
      <w:r>
        <w:rPr>
          <w:rFonts w:hint="eastAsia" w:ascii="宋体" w:hAnsi="宋体" w:eastAsia="宋体" w:cs="宋体"/>
          <w:spacing w:val="-4"/>
          <w:sz w:val="24"/>
          <w:szCs w:val="24"/>
          <w:lang w:eastAsia="zh-CN"/>
        </w:rPr>
        <w:t>）；</w:t>
      </w:r>
    </w:p>
    <w:p w14:paraId="3912735A">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（26）《建筑垃圾减量化设计标准》（T/CECS 1121-2022）；</w:t>
      </w:r>
    </w:p>
    <w:p w14:paraId="13E00C74">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（27）《建筑垃圾转运处理电子联单管理标准》（T/CECS 1210-2022）；</w:t>
      </w:r>
    </w:p>
    <w:p w14:paraId="154A7FEE">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（28）《建筑垃圾遥感快速识别技术规程》（T/CECS 1164-2022）；</w:t>
      </w:r>
    </w:p>
    <w:p w14:paraId="661A935E">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（29）《固定式建筑垃圾处置技术规程》（JC/T 2546-2019）；</w:t>
      </w:r>
    </w:p>
    <w:p w14:paraId="0E42F5EE">
      <w:pPr>
        <w:spacing w:line="360" w:lineRule="auto"/>
        <w:ind w:firstLine="482"/>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（30）《四川省建筑垃圾减量化和资源化利用指导手册》；</w:t>
      </w:r>
    </w:p>
    <w:p w14:paraId="4D6B94D9">
      <w:pPr>
        <w:spacing w:line="360" w:lineRule="auto"/>
        <w:ind w:firstLine="482"/>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（四）政策文件</w:t>
      </w:r>
    </w:p>
    <w:p w14:paraId="6D21ACC1">
      <w:pPr>
        <w:pStyle w:val="8"/>
        <w:spacing w:before="182" w:line="360" w:lineRule="auto"/>
        <w:ind w:left="28" w:right="79" w:firstLine="464" w:firstLineChars="200"/>
        <w:rPr>
          <w:rFonts w:hint="eastAsia"/>
          <w:color w:val="333333"/>
          <w:spacing w:val="-4"/>
          <w:sz w:val="24"/>
          <w:szCs w:val="24"/>
          <w:lang w:eastAsia="zh-CN"/>
        </w:rPr>
      </w:pPr>
      <w:r>
        <w:rPr>
          <w:rFonts w:hint="eastAsia"/>
          <w:color w:val="333333"/>
          <w:spacing w:val="-4"/>
          <w:sz w:val="24"/>
          <w:szCs w:val="24"/>
          <w:lang w:eastAsia="zh-CN"/>
        </w:rPr>
        <w:t>(1)《住房和城乡建设部关于印发“十四五”建筑业发展规划的通知》(建市(2022)11号)(2)《关于印发&lt;“十四五”时期“无废城市”建设工作方案&gt;的通知》(环固体(2021)114号)；</w:t>
      </w:r>
    </w:p>
    <w:p w14:paraId="3FED591B">
      <w:pPr>
        <w:pStyle w:val="8"/>
        <w:spacing w:before="182" w:line="360" w:lineRule="auto"/>
        <w:ind w:left="28" w:right="79" w:firstLine="464" w:firstLineChars="200"/>
        <w:rPr>
          <w:rFonts w:hint="eastAsia"/>
          <w:color w:val="333333"/>
          <w:spacing w:val="-4"/>
          <w:sz w:val="24"/>
          <w:szCs w:val="24"/>
          <w:lang w:eastAsia="zh-CN"/>
        </w:rPr>
      </w:pPr>
      <w:r>
        <w:rPr>
          <w:rFonts w:hint="eastAsia"/>
          <w:color w:val="333333"/>
          <w:spacing w:val="-4"/>
          <w:sz w:val="24"/>
          <w:szCs w:val="24"/>
          <w:lang w:eastAsia="zh-CN"/>
        </w:rPr>
        <w:t>(2)《国家发展改革委关于印发“十四五”循环经济发展规划的通知》(发改环资(2021)969号)；</w:t>
      </w:r>
    </w:p>
    <w:p w14:paraId="0F80375B">
      <w:pPr>
        <w:pStyle w:val="8"/>
        <w:spacing w:before="182" w:line="360" w:lineRule="auto"/>
        <w:ind w:left="28" w:right="79" w:firstLine="464" w:firstLineChars="200"/>
        <w:rPr>
          <w:rFonts w:hint="eastAsia"/>
          <w:color w:val="333333"/>
          <w:spacing w:val="-4"/>
          <w:sz w:val="24"/>
          <w:szCs w:val="24"/>
          <w:lang w:eastAsia="zh-CN"/>
        </w:rPr>
      </w:pPr>
      <w:r>
        <w:rPr>
          <w:rFonts w:hint="eastAsia"/>
          <w:color w:val="333333"/>
          <w:spacing w:val="-4"/>
          <w:sz w:val="24"/>
          <w:szCs w:val="24"/>
          <w:lang w:eastAsia="zh-CN"/>
        </w:rPr>
        <w:t>(3)《关于“十四五”大宗固体废物综合利用的指导意见》(发改环资(2021)381号)；</w:t>
      </w:r>
    </w:p>
    <w:p w14:paraId="44D849AB">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(4)《住房城乡建设部关于开展建筑垃圾治理试点工作的通知》(建成函(2018)65号)；</w:t>
      </w:r>
    </w:p>
    <w:p w14:paraId="5F3447EB">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(5)《国务院办公厅关于印发“无废城市”建设试点工作方案的通知》(国办发(2018)128号)；</w:t>
      </w:r>
    </w:p>
    <w:p w14:paraId="73B7F5FC">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(6)《中共中央国务院关于全面加强生态环境保护坚决打好污染防治攻坚战的意见》(中发(2018)17号)；</w:t>
      </w:r>
    </w:p>
    <w:p w14:paraId="33E23E39">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(7)《住房城乡建设部关于推进建筑垃圾减量化的指导意见》(建质(2020)46号)；</w:t>
      </w:r>
    </w:p>
    <w:p w14:paraId="262E4739">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(8)《关于“十四五”大宗固体废弃物综合利用的指导意见》(发改环资(2021)381号)；</w:t>
      </w:r>
    </w:p>
    <w:p w14:paraId="7145376C">
      <w:pPr>
        <w:spacing w:line="360" w:lineRule="auto"/>
        <w:ind w:firstLine="462" w:firstLineChars="20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（五）相关规划与报告</w:t>
      </w:r>
    </w:p>
    <w:p w14:paraId="7EA0C54B">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（1）《乐山市“十四五"生态环境保护规划》(乐府发[2022]16号)；</w:t>
      </w:r>
    </w:p>
    <w:p w14:paraId="78BDDD22">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（2）《乐山市土壤污染防治行动计划工作方案》(乐府发[2017]10号)；</w:t>
      </w:r>
    </w:p>
    <w:p w14:paraId="366EA2C0">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（3）《乐山市城市总体规划(2011-2030)》(2017版)；</w:t>
      </w:r>
    </w:p>
    <w:p w14:paraId="7CABCD59">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（4）《乐山市市中区国民经济和社会发展第十四个五年规划和二〇三五年远景目标纲要》(2021年1月)；</w:t>
      </w:r>
    </w:p>
    <w:p w14:paraId="65F1BE26">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（5）《乐山市市中区年鉴(2019年)》(2019年11月)；</w:t>
      </w:r>
    </w:p>
    <w:p w14:paraId="4C60E472">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（6）夹江县国土空间总图规划；</w:t>
      </w:r>
    </w:p>
    <w:p w14:paraId="6A4FC052">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（7）夹江县发展和改革局(备案号:川投资备[2017-511126-77-03-203056]FGQB-0420号)；</w:t>
      </w:r>
    </w:p>
    <w:p w14:paraId="545B934E">
      <w:pPr>
        <w:pStyle w:val="8"/>
        <w:spacing w:before="182" w:line="360" w:lineRule="auto"/>
        <w:ind w:left="28" w:right="79" w:firstLine="468" w:firstLineChars="200"/>
        <w:rPr>
          <w:rFonts w:hint="eastAsia"/>
          <w:spacing w:val="-3"/>
          <w:sz w:val="24"/>
          <w:szCs w:val="24"/>
          <w:lang w:eastAsia="zh-CN"/>
        </w:rPr>
      </w:pPr>
      <w:r>
        <w:rPr>
          <w:rFonts w:hint="eastAsia"/>
          <w:spacing w:val="-3"/>
          <w:sz w:val="24"/>
          <w:szCs w:val="24"/>
          <w:lang w:eastAsia="zh-CN"/>
        </w:rPr>
        <w:t>（8）其他相关资料。</w:t>
      </w:r>
    </w:p>
    <w:p w14:paraId="386DE504">
      <w:pPr>
        <w:pStyle w:val="8"/>
        <w:spacing w:before="182" w:line="360" w:lineRule="auto"/>
        <w:ind w:left="28" w:right="79" w:firstLine="586" w:firstLineChars="200"/>
        <w:outlineLvl w:val="1"/>
        <w:rPr>
          <w:rFonts w:hint="eastAsia" w:cs="Arial"/>
          <w:b/>
          <w:bCs/>
          <w:spacing w:val="-5"/>
          <w:sz w:val="24"/>
          <w:szCs w:val="24"/>
          <w:lang w:eastAsia="zh-CN"/>
        </w:rPr>
      </w:pPr>
      <w:bookmarkStart w:id="55" w:name="bookmark63"/>
      <w:bookmarkEnd w:id="55"/>
      <w:bookmarkStart w:id="56" w:name="bookmark64"/>
      <w:bookmarkEnd w:id="56"/>
      <w:bookmarkStart w:id="57" w:name="_Toc186468109"/>
      <w:r>
        <w:rPr>
          <w:rFonts w:hint="eastAsia"/>
          <w:b/>
          <w:bCs/>
          <w:spacing w:val="-4"/>
          <w:lang w:eastAsia="zh-CN"/>
        </w:rPr>
        <w:t>第四节</w:t>
      </w:r>
      <w:r>
        <w:rPr>
          <w:spacing w:val="-4"/>
          <w:lang w:eastAsia="zh-CN"/>
        </w:rPr>
        <w:t xml:space="preserve"> </w:t>
      </w:r>
      <w:r>
        <w:rPr>
          <w:rFonts w:hint="eastAsia"/>
          <w:b/>
          <w:bCs/>
          <w:spacing w:val="-4"/>
          <w:lang w:eastAsia="zh-CN"/>
        </w:rPr>
        <w:t>规划期限和范围</w:t>
      </w:r>
      <w:bookmarkEnd w:id="57"/>
    </w:p>
    <w:p w14:paraId="0AA512CC">
      <w:pPr>
        <w:pStyle w:val="8"/>
        <w:spacing w:before="182" w:line="360" w:lineRule="auto"/>
        <w:ind w:left="28" w:right="79" w:firstLine="468" w:firstLineChars="200"/>
        <w:rPr>
          <w:rFonts w:hint="eastAsia"/>
          <w:spacing w:val="-3"/>
          <w:sz w:val="24"/>
          <w:szCs w:val="24"/>
          <w:lang w:eastAsia="zh-CN"/>
        </w:rPr>
      </w:pPr>
      <w:r>
        <w:rPr>
          <w:spacing w:val="-3"/>
          <w:sz w:val="24"/>
          <w:szCs w:val="24"/>
          <w:lang w:eastAsia="zh-CN"/>
        </w:rPr>
        <w:t>规划期限：2025—2035年。其中，近期规划到2030年，远期规划到2035年</w:t>
      </w:r>
      <w:r>
        <w:rPr>
          <w:rFonts w:hint="eastAsia"/>
          <w:spacing w:val="-3"/>
          <w:sz w:val="24"/>
          <w:szCs w:val="24"/>
          <w:lang w:eastAsia="zh-CN"/>
        </w:rPr>
        <w:t>；</w:t>
      </w:r>
    </w:p>
    <w:p w14:paraId="12FDCE16">
      <w:pPr>
        <w:pStyle w:val="8"/>
        <w:spacing w:before="182" w:line="360" w:lineRule="auto"/>
        <w:ind w:left="28" w:right="79" w:firstLine="468" w:firstLineChars="200"/>
        <w:rPr>
          <w:rFonts w:hint="eastAsia"/>
          <w:color w:val="auto"/>
          <w:spacing w:val="-3"/>
          <w:sz w:val="24"/>
          <w:szCs w:val="24"/>
          <w:lang w:eastAsia="zh-CN"/>
        </w:rPr>
      </w:pPr>
      <w:r>
        <w:rPr>
          <w:color w:val="auto"/>
          <w:spacing w:val="-3"/>
          <w:sz w:val="24"/>
          <w:szCs w:val="24"/>
          <w:lang w:eastAsia="zh-CN"/>
        </w:rPr>
        <w:t>规划范围：</w:t>
      </w:r>
      <w:r>
        <w:rPr>
          <w:rFonts w:hint="eastAsia"/>
          <w:color w:val="auto"/>
          <w:spacing w:val="-3"/>
          <w:sz w:val="24"/>
          <w:szCs w:val="24"/>
          <w:lang w:eastAsia="zh-CN"/>
        </w:rPr>
        <w:t>夹江县域及中心城区。</w:t>
      </w:r>
    </w:p>
    <w:p w14:paraId="6397F821">
      <w:pPr>
        <w:pStyle w:val="8"/>
        <w:spacing w:before="182" w:line="360" w:lineRule="auto"/>
        <w:ind w:left="28" w:right="79" w:firstLine="480"/>
        <w:jc w:val="both"/>
        <w:rPr>
          <w:rFonts w:hint="eastAsia"/>
          <w:sz w:val="24"/>
          <w:szCs w:val="24"/>
          <w:lang w:eastAsia="zh-CN"/>
        </w:rPr>
      </w:pPr>
    </w:p>
    <w:p w14:paraId="4A792975">
      <w:pPr>
        <w:spacing w:before="182" w:line="360" w:lineRule="auto"/>
        <w:ind w:left="28" w:right="79"/>
        <w:rPr>
          <w:sz w:val="24"/>
          <w:szCs w:val="24"/>
          <w:lang w:eastAsia="zh-CN"/>
        </w:rPr>
        <w:sectPr>
          <w:pgSz w:w="11906" w:h="16839"/>
          <w:pgMar w:top="1225" w:right="1332" w:bottom="1225" w:left="1786" w:header="850" w:footer="850" w:gutter="0"/>
          <w:pgNumType w:fmt="numberInDash"/>
          <w:cols w:space="720" w:num="1"/>
          <w:docGrid w:linePitch="286" w:charSpace="0"/>
        </w:sectPr>
      </w:pPr>
    </w:p>
    <w:p w14:paraId="7A96DA06">
      <w:pPr>
        <w:pStyle w:val="8"/>
        <w:spacing w:before="182" w:line="360" w:lineRule="auto"/>
        <w:ind w:left="28" w:right="79"/>
        <w:jc w:val="center"/>
        <w:outlineLvl w:val="0"/>
        <w:rPr>
          <w:rFonts w:hint="eastAsia"/>
          <w:sz w:val="31"/>
          <w:szCs w:val="31"/>
          <w:lang w:eastAsia="zh-CN"/>
        </w:rPr>
      </w:pPr>
      <w:bookmarkStart w:id="58" w:name="bookmark68"/>
      <w:bookmarkEnd w:id="58"/>
      <w:bookmarkStart w:id="59" w:name="bookmark69"/>
      <w:bookmarkEnd w:id="59"/>
      <w:bookmarkStart w:id="60" w:name="_Toc186468110"/>
      <w:r>
        <w:rPr>
          <w:rFonts w:hint="eastAsia"/>
          <w:b/>
          <w:bCs/>
          <w:spacing w:val="-5"/>
          <w:sz w:val="31"/>
          <w:szCs w:val="31"/>
          <w:lang w:eastAsia="zh-CN"/>
        </w:rPr>
        <w:t xml:space="preserve">第三章 </w:t>
      </w:r>
      <w:r>
        <w:rPr>
          <w:rFonts w:hint="eastAsia"/>
          <w:b/>
          <w:bCs/>
          <w:spacing w:val="6"/>
          <w:sz w:val="31"/>
          <w:szCs w:val="31"/>
          <w:lang w:eastAsia="zh-CN"/>
        </w:rPr>
        <w:t>规划目标</w:t>
      </w:r>
      <w:bookmarkEnd w:id="60"/>
    </w:p>
    <w:p w14:paraId="083712A7">
      <w:pPr>
        <w:pStyle w:val="8"/>
        <w:spacing w:before="182" w:line="360" w:lineRule="auto"/>
        <w:ind w:left="28" w:right="79"/>
        <w:outlineLvl w:val="1"/>
        <w:rPr>
          <w:rFonts w:hint="eastAsia"/>
          <w:b/>
          <w:bCs/>
          <w:spacing w:val="-10"/>
          <w:lang w:eastAsia="zh-CN"/>
        </w:rPr>
      </w:pPr>
      <w:bookmarkStart w:id="61" w:name="bookmark70"/>
      <w:bookmarkEnd w:id="61"/>
      <w:bookmarkStart w:id="62" w:name="bookmark71"/>
      <w:bookmarkEnd w:id="62"/>
      <w:bookmarkStart w:id="63" w:name="_Toc186468111"/>
      <w:r>
        <w:rPr>
          <w:rFonts w:hint="eastAsia"/>
          <w:b/>
          <w:bCs/>
          <w:spacing w:val="-10"/>
          <w:lang w:eastAsia="zh-CN"/>
        </w:rPr>
        <w:t>第一节 规划思路</w:t>
      </w:r>
      <w:bookmarkEnd w:id="63"/>
    </w:p>
    <w:p w14:paraId="33F76631">
      <w:pPr>
        <w:pStyle w:val="8"/>
        <w:spacing w:before="182" w:line="360" w:lineRule="auto"/>
        <w:ind w:left="28" w:right="79" w:firstLine="462" w:firstLineChars="200"/>
        <w:rPr>
          <w:rFonts w:hint="eastAsia" w:cs="Arial"/>
          <w:b/>
          <w:bCs/>
          <w:spacing w:val="-5"/>
          <w:sz w:val="24"/>
          <w:szCs w:val="24"/>
          <w:lang w:eastAsia="zh-CN"/>
        </w:rPr>
      </w:pPr>
      <w:bookmarkStart w:id="64" w:name="bookmark72"/>
      <w:bookmarkEnd w:id="64"/>
      <w:bookmarkStart w:id="65" w:name="bookmark73"/>
      <w:bookmarkEnd w:id="65"/>
      <w:r>
        <w:rPr>
          <w:rFonts w:hint="eastAsia" w:cs="Arial"/>
          <w:b/>
          <w:bCs/>
          <w:spacing w:val="-5"/>
          <w:sz w:val="24"/>
          <w:szCs w:val="24"/>
          <w:lang w:eastAsia="zh-CN"/>
        </w:rPr>
        <w:t>（一）基本思路</w:t>
      </w:r>
    </w:p>
    <w:p w14:paraId="0B25FFA7">
      <w:pPr>
        <w:pStyle w:val="8"/>
        <w:spacing w:before="182" w:line="360" w:lineRule="auto"/>
        <w:ind w:left="28" w:right="79" w:firstLine="464" w:firstLineChars="200"/>
        <w:rPr>
          <w:rFonts w:hint="eastAsia"/>
          <w:color w:val="333333"/>
          <w:spacing w:val="-4"/>
          <w:sz w:val="24"/>
          <w:szCs w:val="24"/>
          <w:lang w:eastAsia="zh-CN"/>
        </w:rPr>
      </w:pPr>
      <w:r>
        <w:rPr>
          <w:rFonts w:hint="eastAsia"/>
          <w:color w:val="333333"/>
          <w:spacing w:val="-4"/>
          <w:sz w:val="24"/>
          <w:szCs w:val="24"/>
          <w:lang w:eastAsia="zh-CN"/>
        </w:rPr>
        <w:t>夹江县</w:t>
      </w:r>
      <w:r>
        <w:rPr>
          <w:color w:val="333333"/>
          <w:spacing w:val="-4"/>
          <w:sz w:val="24"/>
          <w:szCs w:val="24"/>
          <w:lang w:eastAsia="zh-CN"/>
        </w:rPr>
        <w:t>建筑垃圾的处理处置应与国际及国内先进理念相结合。首先是源头控制及预防，直接避免或减少一些建筑垃圾的产生，实现源头减量；其次直接利用，包括产生源地的直接回用或者工程渣土的直接回填利用等；接着就是建筑垃圾最为重要的资源化处理设施的循环利用，采用各种工艺设备，再次实现建筑垃圾的社会使用价值；任何处理技术或方式，最后经常会有极少量特异性残渣无法资源化循环利用，而作为具有最终处置功能的消纳场就是最后的保障及托底设施。</w:t>
      </w:r>
    </w:p>
    <w:p w14:paraId="26821960">
      <w:pPr>
        <w:pStyle w:val="8"/>
        <w:spacing w:before="182" w:line="360" w:lineRule="auto"/>
        <w:ind w:left="28" w:right="79" w:firstLine="464" w:firstLineChars="200"/>
        <w:rPr>
          <w:rFonts w:hint="eastAsia"/>
          <w:color w:val="333333"/>
          <w:spacing w:val="-4"/>
          <w:sz w:val="24"/>
          <w:szCs w:val="24"/>
          <w:lang w:eastAsia="zh-CN"/>
        </w:rPr>
      </w:pPr>
      <w:r>
        <w:rPr>
          <w:color w:val="333333"/>
          <w:spacing w:val="-4"/>
          <w:sz w:val="24"/>
          <w:szCs w:val="24"/>
          <w:lang w:eastAsia="zh-CN"/>
        </w:rPr>
        <w:t>坚持“减量化、资源化、无害化”的原则，建立建筑垃圾分类治理体系。强化建筑垃圾源头分类减量，推进建立安全高效的智能收运和调配系统，推广多层次、多渠道的建筑垃圾处置模式，健全建筑垃圾资源化产品应用体系，逐步形成全域统筹、区域协调、长效安全、环保高效的建筑垃圾处置系统，提高建筑垃圾综合利用率和城市精细化管理水平，助力推进城市绿色转型和高质量发展</w:t>
      </w:r>
      <w:r>
        <w:rPr>
          <w:rFonts w:hint="eastAsia"/>
          <w:color w:val="333333"/>
          <w:spacing w:val="-4"/>
          <w:sz w:val="24"/>
          <w:szCs w:val="24"/>
          <w:lang w:eastAsia="zh-CN"/>
        </w:rPr>
        <w:t>。</w:t>
      </w:r>
    </w:p>
    <w:p w14:paraId="031322C1">
      <w:pPr>
        <w:pStyle w:val="8"/>
        <w:spacing w:before="182" w:line="360" w:lineRule="auto"/>
        <w:ind w:left="28" w:right="79" w:firstLine="468" w:firstLineChars="200"/>
        <w:rPr>
          <w:rFonts w:hint="eastAsia"/>
          <w:color w:val="auto"/>
          <w:spacing w:val="-3"/>
          <w:sz w:val="24"/>
          <w:szCs w:val="24"/>
          <w:lang w:eastAsia="zh-CN"/>
        </w:rPr>
      </w:pPr>
      <w:r>
        <w:rPr>
          <w:rFonts w:hint="eastAsia"/>
          <w:color w:val="auto"/>
          <w:spacing w:val="-3"/>
          <w:sz w:val="24"/>
          <w:szCs w:val="24"/>
          <w:lang w:eastAsia="zh-CN"/>
        </w:rPr>
        <w:t>（</w:t>
      </w:r>
      <w:r>
        <w:rPr>
          <w:rFonts w:hint="eastAsia" w:cs="Arial"/>
          <w:b/>
          <w:bCs/>
          <w:spacing w:val="-5"/>
          <w:sz w:val="24"/>
          <w:szCs w:val="24"/>
          <w:lang w:eastAsia="zh-CN"/>
        </w:rPr>
        <w:t>二）技术路线</w:t>
      </w:r>
    </w:p>
    <w:p w14:paraId="13C77FEB">
      <w:pPr>
        <w:pStyle w:val="8"/>
        <w:spacing w:before="182" w:line="360" w:lineRule="auto"/>
        <w:ind w:left="28" w:right="79" w:firstLine="468" w:firstLineChars="200"/>
        <w:rPr>
          <w:rFonts w:hint="eastAsia"/>
          <w:color w:val="auto"/>
          <w:spacing w:val="-3"/>
          <w:sz w:val="24"/>
          <w:szCs w:val="24"/>
          <w:lang w:eastAsia="zh-CN"/>
        </w:rPr>
      </w:pPr>
      <w:r>
        <w:rPr>
          <w:color w:val="auto"/>
          <w:spacing w:val="-3"/>
          <w:sz w:val="24"/>
          <w:szCs w:val="24"/>
          <w:lang w:eastAsia="zh-CN"/>
        </w:rPr>
        <w:t>根据夹江县建筑垃圾的基本情况，对夹江县建筑垃圾产生量时空分布进行科学性预测，并对不同类别建筑垃圾处理方法分析，分类别确定建筑垃圾的处置策略，在全</w:t>
      </w:r>
      <w:r>
        <w:rPr>
          <w:rFonts w:hint="eastAsia"/>
          <w:color w:val="auto"/>
          <w:spacing w:val="-3"/>
          <w:sz w:val="24"/>
          <w:szCs w:val="24"/>
          <w:lang w:eastAsia="zh-CN"/>
        </w:rPr>
        <w:t>县</w:t>
      </w:r>
      <w:r>
        <w:rPr>
          <w:color w:val="auto"/>
          <w:spacing w:val="-3"/>
          <w:sz w:val="24"/>
          <w:szCs w:val="24"/>
          <w:lang w:eastAsia="zh-CN"/>
        </w:rPr>
        <w:t>层面对建筑垃圾处理处置设施进行统筹布局，并通过分期建设、规划衔接和保障规划的实施，最终形成操作性强的建筑垃圾污染环境防治专项规划。</w:t>
      </w:r>
    </w:p>
    <w:p w14:paraId="058C196F">
      <w:pPr>
        <w:pStyle w:val="8"/>
        <w:spacing w:before="182" w:line="360" w:lineRule="auto"/>
        <w:ind w:left="28" w:right="79"/>
        <w:outlineLvl w:val="1"/>
        <w:rPr>
          <w:rFonts w:hint="eastAsia"/>
          <w:b/>
          <w:bCs/>
          <w:color w:val="auto"/>
          <w:spacing w:val="-4"/>
          <w:lang w:eastAsia="zh-CN"/>
        </w:rPr>
      </w:pPr>
      <w:bookmarkStart w:id="66" w:name="bookmark76"/>
      <w:bookmarkEnd w:id="66"/>
      <w:bookmarkStart w:id="67" w:name="bookmark162"/>
      <w:bookmarkEnd w:id="67"/>
      <w:bookmarkStart w:id="68" w:name="bookmark77"/>
      <w:bookmarkEnd w:id="68"/>
      <w:bookmarkStart w:id="69" w:name="_Toc186468112"/>
      <w:r>
        <w:rPr>
          <w:rFonts w:hint="eastAsia"/>
          <w:b/>
          <w:bCs/>
          <w:color w:val="auto"/>
          <w:spacing w:val="-4"/>
          <w:lang w:eastAsia="zh-CN"/>
        </w:rPr>
        <w:t>第二节</w:t>
      </w:r>
      <w:r>
        <w:rPr>
          <w:color w:val="auto"/>
          <w:spacing w:val="-4"/>
          <w:lang w:eastAsia="zh-CN"/>
        </w:rPr>
        <w:t xml:space="preserve"> </w:t>
      </w:r>
      <w:r>
        <w:rPr>
          <w:rFonts w:hint="eastAsia"/>
          <w:b/>
          <w:bCs/>
          <w:color w:val="auto"/>
          <w:spacing w:val="-4"/>
          <w:lang w:eastAsia="zh-CN"/>
        </w:rPr>
        <w:t>规划目标</w:t>
      </w:r>
      <w:bookmarkEnd w:id="69"/>
      <w:bookmarkStart w:id="70" w:name="bookmark78"/>
      <w:bookmarkEnd w:id="70"/>
      <w:bookmarkStart w:id="71" w:name="bookmark79"/>
      <w:bookmarkEnd w:id="71"/>
    </w:p>
    <w:p w14:paraId="6ED25EAD">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建立健全建筑垃圾从源头到处置的全过程管理体系，开展源头分类，规范运输流程，加快资源化设施建设，配置托底保障设施，完善机制和制度建设，形成全社会共同参与的建筑垃圾长效管理机制，提升城市整体环境质量，形成夹江县“源头减量化，处置资源化，消纳无害化，管理信息化”的“四化”目标，为四川省建筑垃圾管理体系的完善起到模范带头作用。</w:t>
      </w:r>
    </w:p>
    <w:p w14:paraId="178700FF">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b/>
          <w:bCs/>
          <w:spacing w:val="-5"/>
          <w:sz w:val="24"/>
          <w:szCs w:val="24"/>
          <w:lang w:eastAsia="zh-CN"/>
        </w:rPr>
        <w:t>（一）源头减量化。</w:t>
      </w:r>
      <w:r>
        <w:rPr>
          <w:rFonts w:hint="eastAsia" w:ascii="宋体" w:hAnsi="宋体" w:eastAsia="宋体" w:cs="宋体"/>
          <w:color w:val="auto"/>
          <w:spacing w:val="-3"/>
          <w:sz w:val="24"/>
          <w:szCs w:val="24"/>
          <w:lang w:eastAsia="zh-CN"/>
        </w:rPr>
        <w:t>通过源头分类、优化设计等方式，促进建筑垃圾的源头减量化。同时，通过完善建设规划标高、堆坡造景、低洼填平等就地利用方式，以及施工单位采取道路废弃沥青混合料再生、泥浆干化、泥沙分离等施工工艺，减少建筑垃圾的排放，并通过制定建筑垃圾处置排放的合理收费制度，实现建筑垃圾源头减量化。</w:t>
      </w:r>
    </w:p>
    <w:p w14:paraId="313DEAB7">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b/>
          <w:bCs/>
          <w:spacing w:val="-5"/>
          <w:sz w:val="24"/>
          <w:szCs w:val="24"/>
          <w:lang w:eastAsia="zh-CN"/>
        </w:rPr>
        <w:t>（二）处置资源化。</w:t>
      </w:r>
      <w:r>
        <w:rPr>
          <w:rFonts w:hint="eastAsia" w:ascii="宋体" w:hAnsi="宋体" w:eastAsia="宋体" w:cs="宋体"/>
          <w:color w:val="auto"/>
          <w:spacing w:val="-3"/>
          <w:sz w:val="24"/>
          <w:szCs w:val="24"/>
          <w:lang w:eastAsia="zh-CN"/>
        </w:rPr>
        <w:t>建筑垃圾处理处置应以无害、安全为基础，重点发展规模化、资源化的处置方式，以具有规模效应的大中型建筑垃圾资源化利用设施为核心，以移动资源化利用设施为补充，以消纳设施为托底保障设施，因地制宜的布局移动式资源化利用设备和工厂式建筑垃圾资源化利用设施，完善再生产品市场推广机制，拓宽应用领域，全面提升夹江县建筑垃圾处置水平。</w:t>
      </w:r>
    </w:p>
    <w:p w14:paraId="2F622B2C">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b/>
          <w:bCs/>
          <w:spacing w:val="-5"/>
          <w:sz w:val="24"/>
          <w:szCs w:val="24"/>
          <w:lang w:eastAsia="zh-CN"/>
        </w:rPr>
        <w:t>（三）消纳无害化。</w:t>
      </w:r>
      <w:r>
        <w:rPr>
          <w:rFonts w:hint="eastAsia" w:ascii="宋体" w:hAnsi="宋体" w:eastAsia="宋体" w:cs="宋体"/>
          <w:color w:val="auto"/>
          <w:spacing w:val="-3"/>
          <w:sz w:val="24"/>
          <w:szCs w:val="24"/>
          <w:lang w:eastAsia="zh-CN"/>
        </w:rPr>
        <w:t>消纳无害化是建筑垃圾处理处置的基准，需在建筑垃圾收集、运输、处理、利用等环节，将建筑垃圾进行分类、削减和无害化处理，使建筑垃圾不再污染环境，在加强建筑垃圾资源化利用的前提下，积极推进建筑垃圾无害化消纳设施建设，以此作为建筑垃圾处理处置的兜底保障设施，为建造夹江县环境友好型社会和现代化新区奠定坚实基础。</w:t>
      </w:r>
    </w:p>
    <w:p w14:paraId="11E23000">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b/>
          <w:bCs/>
          <w:spacing w:val="-5"/>
          <w:sz w:val="24"/>
          <w:szCs w:val="24"/>
          <w:lang w:eastAsia="zh-CN"/>
        </w:rPr>
        <w:t>（四）管理信息化。</w:t>
      </w:r>
      <w:r>
        <w:rPr>
          <w:rFonts w:hint="eastAsia" w:ascii="宋体" w:hAnsi="宋体" w:eastAsia="宋体" w:cs="宋体"/>
          <w:color w:val="auto"/>
          <w:spacing w:val="-3"/>
          <w:sz w:val="24"/>
          <w:szCs w:val="24"/>
          <w:lang w:eastAsia="zh-CN"/>
        </w:rPr>
        <w:t>夹江县应在现有数字化管理平台基础上，结合移动互联网、物联网、云计算等城市大数据载体和智慧城市发展，不断提升精细化管理水平，将建筑垃圾从产生到收集、运输、处理过程中的全生命周期信息纳入城市大数据管控范围，真正实现建筑垃圾追根溯源，提高政府公共服务管理水平和效率。</w:t>
      </w:r>
    </w:p>
    <w:p w14:paraId="29221352">
      <w:pPr>
        <w:pStyle w:val="8"/>
        <w:spacing w:before="182" w:line="360" w:lineRule="auto"/>
        <w:ind w:left="28" w:right="79"/>
        <w:outlineLvl w:val="1"/>
        <w:rPr>
          <w:rFonts w:hint="eastAsia"/>
          <w:b/>
          <w:bCs/>
          <w:color w:val="auto"/>
          <w:spacing w:val="-4"/>
          <w:lang w:eastAsia="zh-CN"/>
        </w:rPr>
      </w:pPr>
      <w:bookmarkStart w:id="72" w:name="_Toc186468113"/>
      <w:r>
        <w:rPr>
          <w:rFonts w:hint="eastAsia"/>
          <w:b/>
          <w:bCs/>
          <w:color w:val="auto"/>
          <w:spacing w:val="-4"/>
          <w:lang w:eastAsia="zh-CN"/>
        </w:rPr>
        <w:t>第三节</w:t>
      </w:r>
      <w:r>
        <w:rPr>
          <w:color w:val="auto"/>
          <w:spacing w:val="-4"/>
          <w:lang w:eastAsia="zh-CN"/>
        </w:rPr>
        <w:t xml:space="preserve"> </w:t>
      </w:r>
      <w:r>
        <w:rPr>
          <w:rFonts w:hint="eastAsia"/>
          <w:b/>
          <w:bCs/>
          <w:color w:val="auto"/>
          <w:spacing w:val="-4"/>
          <w:lang w:eastAsia="zh-CN"/>
        </w:rPr>
        <w:t>阶段目标</w:t>
      </w:r>
      <w:bookmarkEnd w:id="72"/>
    </w:p>
    <w:p w14:paraId="1A71000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（一）规划近期（2025-2030）</w:t>
      </w:r>
    </w:p>
    <w:p w14:paraId="7C1AAD49">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补齐短板，全面提升——解决夹江县在建筑垃圾收运处置方面存在的突出问题，补齐建筑垃圾在源头分类、资源化处置以及消纳等方面短板，进一步完善现有的建筑垃圾收运系统和管理机制，在源头分类、分类管理、综合利用、消纳设施和场所布局及建设、部门协同监管、全过程数字化治理等方面持续强化，大幅提升夹江县建筑垃圾在收集转运、管理体制、资源处理、区域统筹等各个方面水平，使夹江县建筑垃圾收运处置水平与城市定位、城市环境相适应，整体达到国内同类城市先进水平。</w:t>
      </w:r>
    </w:p>
    <w:p w14:paraId="2676B1D2">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（二）规划远期（2031-2035）</w:t>
      </w:r>
    </w:p>
    <w:p w14:paraId="2ED2160E">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建立建全完整的建筑垃圾管理系统、完善建筑垃圾分级行业管理体系和社会化管理法规体系，大幅度提升整个建筑垃圾管理的标准水平和运行质量，实现建筑垃圾全过程精细化智能管理，整体达到国内同类城市领先水平，系统性、全面性、前瞻性的提高夹江县建筑垃圾管理的整体质效，构建“创新、协调、绿色、开放、共享 ”的无废城市，实现夹江县的绿色低碳循环发展。</w:t>
      </w:r>
    </w:p>
    <w:p w14:paraId="072AB222">
      <w:pPr>
        <w:pStyle w:val="8"/>
        <w:spacing w:before="182" w:line="360" w:lineRule="auto"/>
        <w:ind w:left="28" w:right="79" w:firstLine="466"/>
        <w:outlineLvl w:val="1"/>
        <w:rPr>
          <w:rFonts w:hint="eastAsia"/>
          <w:b/>
          <w:bCs/>
          <w:color w:val="auto"/>
          <w:spacing w:val="-4"/>
          <w:lang w:eastAsia="zh-CN"/>
        </w:rPr>
      </w:pPr>
      <w:bookmarkStart w:id="73" w:name="_Toc186468114"/>
      <w:r>
        <w:rPr>
          <w:rFonts w:hint="eastAsia"/>
          <w:b/>
          <w:bCs/>
          <w:color w:val="auto"/>
          <w:spacing w:val="-4"/>
          <w:lang w:eastAsia="zh-CN"/>
        </w:rPr>
        <w:t>第四节</w:t>
      </w:r>
      <w:r>
        <w:rPr>
          <w:color w:val="auto"/>
          <w:spacing w:val="-4"/>
          <w:lang w:eastAsia="zh-CN"/>
        </w:rPr>
        <w:t xml:space="preserve"> </w:t>
      </w:r>
      <w:r>
        <w:rPr>
          <w:rFonts w:hint="eastAsia"/>
          <w:b/>
          <w:bCs/>
          <w:color w:val="auto"/>
          <w:spacing w:val="-4"/>
          <w:lang w:eastAsia="zh-CN"/>
        </w:rPr>
        <w:t>规划指标</w:t>
      </w:r>
      <w:bookmarkEnd w:id="73"/>
    </w:p>
    <w:p w14:paraId="4605A79B">
      <w:pPr>
        <w:spacing w:line="360" w:lineRule="auto"/>
        <w:ind w:firstLine="480"/>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本规划的规划指标主要分为约束性指标和预期性指标两类，其中约束性指标为实现规划目标，在规划期内不得突破或必须实现的指标，预期性指标为非强制性要求，但按照经济社会发展预期，规划期内努力实现或不突破的指标。</w:t>
      </w:r>
    </w:p>
    <w:tbl>
      <w:tblPr>
        <w:tblStyle w:val="30"/>
        <w:tblW w:w="89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233"/>
        <w:gridCol w:w="3449"/>
        <w:gridCol w:w="1030"/>
        <w:gridCol w:w="1074"/>
        <w:gridCol w:w="8"/>
        <w:gridCol w:w="1375"/>
        <w:gridCol w:w="8"/>
      </w:tblGrid>
      <w:tr w14:paraId="0547C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520" w:hRule="atLeast"/>
          <w:jc w:val="center"/>
        </w:trPr>
        <w:tc>
          <w:tcPr>
            <w:tcW w:w="749" w:type="dxa"/>
            <w:vMerge w:val="restart"/>
            <w:vAlign w:val="center"/>
          </w:tcPr>
          <w:p w14:paraId="61FBC81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序号</w:t>
            </w:r>
          </w:p>
        </w:tc>
        <w:tc>
          <w:tcPr>
            <w:tcW w:w="4682" w:type="dxa"/>
            <w:gridSpan w:val="2"/>
            <w:vMerge w:val="restart"/>
            <w:vAlign w:val="center"/>
          </w:tcPr>
          <w:p w14:paraId="1336F717">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指标类型</w:t>
            </w:r>
          </w:p>
        </w:tc>
        <w:tc>
          <w:tcPr>
            <w:tcW w:w="2104" w:type="dxa"/>
            <w:gridSpan w:val="2"/>
            <w:vAlign w:val="center"/>
          </w:tcPr>
          <w:p w14:paraId="3EB1E8B3">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年限（年）</w:t>
            </w:r>
          </w:p>
        </w:tc>
        <w:tc>
          <w:tcPr>
            <w:tcW w:w="1383" w:type="dxa"/>
            <w:gridSpan w:val="2"/>
            <w:vAlign w:val="center"/>
          </w:tcPr>
          <w:p w14:paraId="4A38EF7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备注</w:t>
            </w:r>
          </w:p>
        </w:tc>
      </w:tr>
      <w:tr w14:paraId="64C42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749" w:type="dxa"/>
            <w:vMerge w:val="continue"/>
            <w:tcBorders>
              <w:top w:val="nil"/>
            </w:tcBorders>
            <w:vAlign w:val="center"/>
          </w:tcPr>
          <w:p w14:paraId="2D28ED0D">
            <w:pPr>
              <w:spacing w:before="120" w:beforeLines="50" w:after="120" w:afterLines="50" w:line="360" w:lineRule="auto"/>
              <w:ind w:firstLine="40"/>
              <w:jc w:val="center"/>
              <w:rPr>
                <w:rFonts w:hint="eastAsia" w:ascii="宋体" w:hAnsi="宋体" w:eastAsia="宋体" w:cs="宋体"/>
                <w:color w:val="auto"/>
                <w:spacing w:val="-3"/>
                <w:sz w:val="24"/>
                <w:szCs w:val="24"/>
                <w:lang w:eastAsia="zh-CN"/>
              </w:rPr>
            </w:pPr>
          </w:p>
        </w:tc>
        <w:tc>
          <w:tcPr>
            <w:tcW w:w="4682" w:type="dxa"/>
            <w:gridSpan w:val="2"/>
            <w:vMerge w:val="continue"/>
            <w:tcBorders>
              <w:top w:val="nil"/>
            </w:tcBorders>
            <w:vAlign w:val="center"/>
          </w:tcPr>
          <w:p w14:paraId="161AE557">
            <w:pPr>
              <w:spacing w:before="120" w:beforeLines="50" w:after="120" w:afterLines="50" w:line="360" w:lineRule="auto"/>
              <w:jc w:val="center"/>
              <w:rPr>
                <w:rFonts w:hint="eastAsia" w:ascii="宋体" w:hAnsi="宋体" w:eastAsia="宋体" w:cs="宋体"/>
                <w:color w:val="auto"/>
                <w:spacing w:val="-3"/>
                <w:sz w:val="24"/>
                <w:szCs w:val="24"/>
                <w:lang w:eastAsia="zh-CN"/>
              </w:rPr>
            </w:pPr>
          </w:p>
        </w:tc>
        <w:tc>
          <w:tcPr>
            <w:tcW w:w="1030" w:type="dxa"/>
            <w:vAlign w:val="center"/>
          </w:tcPr>
          <w:p w14:paraId="20DCF76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2030</w:t>
            </w:r>
          </w:p>
        </w:tc>
        <w:tc>
          <w:tcPr>
            <w:tcW w:w="1082" w:type="dxa"/>
            <w:gridSpan w:val="2"/>
            <w:vAlign w:val="center"/>
          </w:tcPr>
          <w:p w14:paraId="580ADD43">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2035</w:t>
            </w:r>
          </w:p>
        </w:tc>
        <w:tc>
          <w:tcPr>
            <w:tcW w:w="1383" w:type="dxa"/>
            <w:gridSpan w:val="2"/>
            <w:tcBorders>
              <w:top w:val="nil"/>
            </w:tcBorders>
            <w:vAlign w:val="center"/>
          </w:tcPr>
          <w:p w14:paraId="33D746CE">
            <w:pPr>
              <w:spacing w:before="120" w:beforeLines="50" w:after="120" w:afterLines="50" w:line="360" w:lineRule="auto"/>
              <w:jc w:val="center"/>
              <w:rPr>
                <w:rFonts w:hint="eastAsia" w:ascii="宋体" w:hAnsi="宋体" w:eastAsia="宋体" w:cs="宋体"/>
                <w:color w:val="auto"/>
                <w:spacing w:val="-3"/>
                <w:sz w:val="24"/>
                <w:szCs w:val="24"/>
                <w:lang w:eastAsia="zh-CN"/>
              </w:rPr>
            </w:pPr>
          </w:p>
        </w:tc>
      </w:tr>
      <w:tr w14:paraId="3D79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749" w:type="dxa"/>
            <w:vAlign w:val="center"/>
          </w:tcPr>
          <w:p w14:paraId="5385729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w:t>
            </w:r>
          </w:p>
        </w:tc>
        <w:tc>
          <w:tcPr>
            <w:tcW w:w="4682" w:type="dxa"/>
            <w:gridSpan w:val="2"/>
            <w:vAlign w:val="center"/>
          </w:tcPr>
          <w:p w14:paraId="418A32D8">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建筑垃圾申报核准率（%）</w:t>
            </w:r>
          </w:p>
        </w:tc>
        <w:tc>
          <w:tcPr>
            <w:tcW w:w="1030" w:type="dxa"/>
            <w:vAlign w:val="center"/>
          </w:tcPr>
          <w:p w14:paraId="6DCD6B72">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082" w:type="dxa"/>
            <w:gridSpan w:val="2"/>
            <w:vAlign w:val="center"/>
          </w:tcPr>
          <w:p w14:paraId="7C9FF297">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95</w:t>
            </w:r>
          </w:p>
        </w:tc>
        <w:tc>
          <w:tcPr>
            <w:tcW w:w="1383" w:type="dxa"/>
            <w:gridSpan w:val="2"/>
            <w:vAlign w:val="center"/>
          </w:tcPr>
          <w:p w14:paraId="1F2A869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约束型</w:t>
            </w:r>
          </w:p>
        </w:tc>
      </w:tr>
      <w:tr w14:paraId="5B424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49" w:type="dxa"/>
            <w:vAlign w:val="center"/>
          </w:tcPr>
          <w:p w14:paraId="6998DD14">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2</w:t>
            </w:r>
          </w:p>
        </w:tc>
        <w:tc>
          <w:tcPr>
            <w:tcW w:w="4682" w:type="dxa"/>
            <w:gridSpan w:val="2"/>
            <w:vAlign w:val="center"/>
          </w:tcPr>
          <w:p w14:paraId="2866489F">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建筑垃圾收运率（%）</w:t>
            </w:r>
          </w:p>
        </w:tc>
        <w:tc>
          <w:tcPr>
            <w:tcW w:w="1030" w:type="dxa"/>
            <w:vAlign w:val="center"/>
          </w:tcPr>
          <w:p w14:paraId="76FCB501">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80</w:t>
            </w:r>
          </w:p>
        </w:tc>
        <w:tc>
          <w:tcPr>
            <w:tcW w:w="1082" w:type="dxa"/>
            <w:gridSpan w:val="2"/>
            <w:vAlign w:val="center"/>
          </w:tcPr>
          <w:p w14:paraId="57B8DEDF">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383" w:type="dxa"/>
            <w:gridSpan w:val="2"/>
            <w:vAlign w:val="center"/>
          </w:tcPr>
          <w:p w14:paraId="6A4B066C">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约束型</w:t>
            </w:r>
          </w:p>
        </w:tc>
      </w:tr>
      <w:tr w14:paraId="11F10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jc w:val="center"/>
        </w:trPr>
        <w:tc>
          <w:tcPr>
            <w:tcW w:w="749" w:type="dxa"/>
            <w:vAlign w:val="center"/>
          </w:tcPr>
          <w:p w14:paraId="19E81BCE">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3</w:t>
            </w:r>
          </w:p>
        </w:tc>
        <w:tc>
          <w:tcPr>
            <w:tcW w:w="4682" w:type="dxa"/>
            <w:gridSpan w:val="2"/>
            <w:vAlign w:val="center"/>
          </w:tcPr>
          <w:p w14:paraId="787F6C7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建筑垃圾密闭化运输率（%）</w:t>
            </w:r>
          </w:p>
          <w:p w14:paraId="4B715877">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（建筑垃圾密闭化运输车辆占建筑垃圾运输车辆的比例）</w:t>
            </w:r>
          </w:p>
        </w:tc>
        <w:tc>
          <w:tcPr>
            <w:tcW w:w="1030" w:type="dxa"/>
            <w:vAlign w:val="center"/>
          </w:tcPr>
          <w:p w14:paraId="565BA678">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082" w:type="dxa"/>
            <w:gridSpan w:val="2"/>
            <w:vAlign w:val="center"/>
          </w:tcPr>
          <w:p w14:paraId="150E304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383" w:type="dxa"/>
            <w:gridSpan w:val="2"/>
            <w:vAlign w:val="center"/>
          </w:tcPr>
          <w:p w14:paraId="5C5DB4E1">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r w14:paraId="22326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749" w:type="dxa"/>
            <w:vAlign w:val="center"/>
          </w:tcPr>
          <w:p w14:paraId="6799377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4</w:t>
            </w:r>
          </w:p>
        </w:tc>
        <w:tc>
          <w:tcPr>
            <w:tcW w:w="4682" w:type="dxa"/>
            <w:gridSpan w:val="2"/>
            <w:vAlign w:val="center"/>
          </w:tcPr>
          <w:p w14:paraId="7BF0C16A">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工程垃圾、拆除垃圾、装修垃圾</w:t>
            </w:r>
          </w:p>
          <w:p w14:paraId="5E38F7C4">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分类收集率（%）</w:t>
            </w:r>
          </w:p>
        </w:tc>
        <w:tc>
          <w:tcPr>
            <w:tcW w:w="1030" w:type="dxa"/>
            <w:vAlign w:val="center"/>
          </w:tcPr>
          <w:p w14:paraId="4A860892">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80</w:t>
            </w:r>
          </w:p>
        </w:tc>
        <w:tc>
          <w:tcPr>
            <w:tcW w:w="1082" w:type="dxa"/>
            <w:gridSpan w:val="2"/>
            <w:vAlign w:val="center"/>
          </w:tcPr>
          <w:p w14:paraId="1303B83C">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383" w:type="dxa"/>
            <w:gridSpan w:val="2"/>
            <w:vAlign w:val="center"/>
          </w:tcPr>
          <w:p w14:paraId="10BF9E8E">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约束型</w:t>
            </w:r>
          </w:p>
        </w:tc>
      </w:tr>
      <w:tr w14:paraId="4CBAF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jc w:val="center"/>
        </w:trPr>
        <w:tc>
          <w:tcPr>
            <w:tcW w:w="749" w:type="dxa"/>
            <w:vMerge w:val="restart"/>
            <w:vAlign w:val="center"/>
          </w:tcPr>
          <w:p w14:paraId="03E77BC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5</w:t>
            </w:r>
          </w:p>
        </w:tc>
        <w:tc>
          <w:tcPr>
            <w:tcW w:w="1233" w:type="dxa"/>
            <w:vMerge w:val="restart"/>
            <w:vAlign w:val="center"/>
          </w:tcPr>
          <w:p w14:paraId="6284938D">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建筑垃圾综合利用率</w:t>
            </w:r>
          </w:p>
        </w:tc>
        <w:tc>
          <w:tcPr>
            <w:tcW w:w="3449" w:type="dxa"/>
            <w:vAlign w:val="center"/>
          </w:tcPr>
          <w:p w14:paraId="131D77A5">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拆除/工程垃圾综合利用率（%）（拆除/工程垃圾综合利用量占拆除/工程垃圾总生产量的比例）</w:t>
            </w:r>
          </w:p>
        </w:tc>
        <w:tc>
          <w:tcPr>
            <w:tcW w:w="1030" w:type="dxa"/>
            <w:vAlign w:val="center"/>
          </w:tcPr>
          <w:p w14:paraId="6C83AC3C">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70</w:t>
            </w:r>
          </w:p>
        </w:tc>
        <w:tc>
          <w:tcPr>
            <w:tcW w:w="1082" w:type="dxa"/>
            <w:gridSpan w:val="2"/>
            <w:vAlign w:val="center"/>
          </w:tcPr>
          <w:p w14:paraId="12737BF3">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80</w:t>
            </w:r>
          </w:p>
        </w:tc>
        <w:tc>
          <w:tcPr>
            <w:tcW w:w="1383" w:type="dxa"/>
            <w:gridSpan w:val="2"/>
            <w:vAlign w:val="center"/>
          </w:tcPr>
          <w:p w14:paraId="7366E062">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r w14:paraId="3BA37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jc w:val="center"/>
        </w:trPr>
        <w:tc>
          <w:tcPr>
            <w:tcW w:w="749" w:type="dxa"/>
            <w:vMerge w:val="continue"/>
            <w:tcBorders>
              <w:top w:val="nil"/>
            </w:tcBorders>
            <w:vAlign w:val="center"/>
          </w:tcPr>
          <w:p w14:paraId="3BC52CC3">
            <w:pPr>
              <w:spacing w:before="120" w:beforeLines="50" w:after="120" w:afterLines="50" w:line="360" w:lineRule="auto"/>
              <w:ind w:firstLine="40"/>
              <w:jc w:val="center"/>
              <w:rPr>
                <w:rFonts w:hint="eastAsia" w:ascii="宋体" w:hAnsi="宋体" w:eastAsia="宋体" w:cs="宋体"/>
                <w:color w:val="auto"/>
                <w:spacing w:val="-3"/>
                <w:sz w:val="24"/>
                <w:szCs w:val="24"/>
                <w:lang w:eastAsia="zh-CN"/>
              </w:rPr>
            </w:pPr>
          </w:p>
        </w:tc>
        <w:tc>
          <w:tcPr>
            <w:tcW w:w="1233" w:type="dxa"/>
            <w:vMerge w:val="continue"/>
            <w:tcBorders>
              <w:top w:val="nil"/>
            </w:tcBorders>
            <w:vAlign w:val="center"/>
          </w:tcPr>
          <w:p w14:paraId="1653187F">
            <w:pPr>
              <w:spacing w:before="120" w:beforeLines="50" w:after="120" w:afterLines="50" w:line="360" w:lineRule="auto"/>
              <w:jc w:val="center"/>
              <w:rPr>
                <w:rFonts w:hint="eastAsia" w:ascii="宋体" w:hAnsi="宋体" w:eastAsia="宋体" w:cs="宋体"/>
                <w:color w:val="auto"/>
                <w:spacing w:val="-3"/>
                <w:sz w:val="24"/>
                <w:szCs w:val="24"/>
                <w:lang w:eastAsia="zh-CN"/>
              </w:rPr>
            </w:pPr>
          </w:p>
        </w:tc>
        <w:tc>
          <w:tcPr>
            <w:tcW w:w="3449" w:type="dxa"/>
            <w:vAlign w:val="center"/>
          </w:tcPr>
          <w:p w14:paraId="0CDF89F2">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装修垃圾综合利用率（%）（装修垃圾综合利用量占装修垃圾总生产量的比例）</w:t>
            </w:r>
          </w:p>
        </w:tc>
        <w:tc>
          <w:tcPr>
            <w:tcW w:w="1030" w:type="dxa"/>
            <w:vAlign w:val="center"/>
          </w:tcPr>
          <w:p w14:paraId="76BBB92A">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70</w:t>
            </w:r>
          </w:p>
        </w:tc>
        <w:tc>
          <w:tcPr>
            <w:tcW w:w="1082" w:type="dxa"/>
            <w:gridSpan w:val="2"/>
            <w:vAlign w:val="center"/>
          </w:tcPr>
          <w:p w14:paraId="1ABB7F90">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95</w:t>
            </w:r>
          </w:p>
        </w:tc>
        <w:tc>
          <w:tcPr>
            <w:tcW w:w="1383" w:type="dxa"/>
            <w:gridSpan w:val="2"/>
            <w:vAlign w:val="center"/>
          </w:tcPr>
          <w:p w14:paraId="2619822B">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r w14:paraId="7A5B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49" w:type="dxa"/>
            <w:vAlign w:val="center"/>
          </w:tcPr>
          <w:p w14:paraId="0827955E">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6</w:t>
            </w:r>
          </w:p>
        </w:tc>
        <w:tc>
          <w:tcPr>
            <w:tcW w:w="4682" w:type="dxa"/>
            <w:gridSpan w:val="2"/>
            <w:vAlign w:val="center"/>
          </w:tcPr>
          <w:p w14:paraId="7199E0CE">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建筑垃圾安全处置率（%）</w:t>
            </w:r>
          </w:p>
        </w:tc>
        <w:tc>
          <w:tcPr>
            <w:tcW w:w="1030" w:type="dxa"/>
            <w:vAlign w:val="center"/>
          </w:tcPr>
          <w:p w14:paraId="37523EBD">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082" w:type="dxa"/>
            <w:gridSpan w:val="2"/>
            <w:vAlign w:val="center"/>
          </w:tcPr>
          <w:p w14:paraId="693DB4E5">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383" w:type="dxa"/>
            <w:gridSpan w:val="2"/>
            <w:vAlign w:val="center"/>
          </w:tcPr>
          <w:p w14:paraId="7F51A608">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约束型</w:t>
            </w:r>
          </w:p>
        </w:tc>
      </w:tr>
      <w:tr w14:paraId="7DAF0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749" w:type="dxa"/>
            <w:vAlign w:val="center"/>
          </w:tcPr>
          <w:p w14:paraId="20DFBEAA">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7</w:t>
            </w:r>
          </w:p>
        </w:tc>
        <w:tc>
          <w:tcPr>
            <w:tcW w:w="4682" w:type="dxa"/>
            <w:gridSpan w:val="2"/>
            <w:vAlign w:val="center"/>
          </w:tcPr>
          <w:p w14:paraId="42A254F4">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建筑垃圾运输车辆车载卫星定位系统</w:t>
            </w:r>
          </w:p>
          <w:p w14:paraId="68A1DC45">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安装比例（%）</w:t>
            </w:r>
          </w:p>
        </w:tc>
        <w:tc>
          <w:tcPr>
            <w:tcW w:w="1030" w:type="dxa"/>
            <w:vAlign w:val="center"/>
          </w:tcPr>
          <w:p w14:paraId="248C35C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082" w:type="dxa"/>
            <w:gridSpan w:val="2"/>
            <w:vAlign w:val="center"/>
          </w:tcPr>
          <w:p w14:paraId="31F81705">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383" w:type="dxa"/>
            <w:gridSpan w:val="2"/>
            <w:vAlign w:val="center"/>
          </w:tcPr>
          <w:p w14:paraId="1597DABC">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r w14:paraId="7A490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749" w:type="dxa"/>
            <w:vAlign w:val="center"/>
          </w:tcPr>
          <w:p w14:paraId="3FF08E9C">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8</w:t>
            </w:r>
          </w:p>
        </w:tc>
        <w:tc>
          <w:tcPr>
            <w:tcW w:w="4682" w:type="dxa"/>
            <w:gridSpan w:val="2"/>
            <w:vAlign w:val="center"/>
          </w:tcPr>
          <w:p w14:paraId="0A9BDCCD">
            <w:pPr>
              <w:spacing w:before="120" w:beforeLines="50" w:after="120" w:afterLines="50" w:line="360" w:lineRule="auto"/>
              <w:ind w:firstLine="428"/>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施工工地、处置场所监控管理系统</w:t>
            </w:r>
          </w:p>
          <w:p w14:paraId="18726E0E">
            <w:pPr>
              <w:spacing w:before="120" w:beforeLines="50" w:after="120" w:afterLines="50" w:line="360" w:lineRule="auto"/>
              <w:ind w:firstLine="428"/>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安装比例（%）</w:t>
            </w:r>
          </w:p>
        </w:tc>
        <w:tc>
          <w:tcPr>
            <w:tcW w:w="1030" w:type="dxa"/>
            <w:vAlign w:val="center"/>
          </w:tcPr>
          <w:p w14:paraId="78F4D0CB">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90</w:t>
            </w:r>
          </w:p>
        </w:tc>
        <w:tc>
          <w:tcPr>
            <w:tcW w:w="1082" w:type="dxa"/>
            <w:gridSpan w:val="2"/>
            <w:vAlign w:val="center"/>
          </w:tcPr>
          <w:p w14:paraId="62FB076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383" w:type="dxa"/>
            <w:gridSpan w:val="2"/>
            <w:vAlign w:val="center"/>
          </w:tcPr>
          <w:p w14:paraId="53583729">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r w14:paraId="0D196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jc w:val="center"/>
        </w:trPr>
        <w:tc>
          <w:tcPr>
            <w:tcW w:w="749" w:type="dxa"/>
            <w:vAlign w:val="center"/>
          </w:tcPr>
          <w:p w14:paraId="5FCEEE5E">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9</w:t>
            </w:r>
          </w:p>
        </w:tc>
        <w:tc>
          <w:tcPr>
            <w:tcW w:w="4682" w:type="dxa"/>
            <w:gridSpan w:val="2"/>
            <w:vAlign w:val="center"/>
          </w:tcPr>
          <w:p w14:paraId="209B7C9E">
            <w:pPr>
              <w:spacing w:before="120" w:beforeLines="50" w:after="120" w:afterLines="50" w:line="360" w:lineRule="auto"/>
              <w:ind w:firstLine="472"/>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渣土场封场率</w:t>
            </w:r>
          </w:p>
        </w:tc>
        <w:tc>
          <w:tcPr>
            <w:tcW w:w="1030" w:type="dxa"/>
            <w:vAlign w:val="center"/>
          </w:tcPr>
          <w:p w14:paraId="08088588">
            <w:pPr>
              <w:spacing w:before="120" w:beforeLines="50" w:after="120" w:afterLines="50" w:line="360" w:lineRule="auto"/>
              <w:ind w:firstLine="234" w:firstLineChars="100"/>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082" w:type="dxa"/>
            <w:gridSpan w:val="2"/>
            <w:vAlign w:val="center"/>
          </w:tcPr>
          <w:p w14:paraId="49F75480">
            <w:pPr>
              <w:spacing w:before="120" w:beforeLines="50" w:after="120" w:afterLines="50" w:line="360" w:lineRule="auto"/>
              <w:ind w:firstLine="201" w:firstLineChars="86"/>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100%</w:t>
            </w:r>
          </w:p>
        </w:tc>
        <w:tc>
          <w:tcPr>
            <w:tcW w:w="1383" w:type="dxa"/>
            <w:gridSpan w:val="2"/>
            <w:vAlign w:val="center"/>
          </w:tcPr>
          <w:p w14:paraId="30717EC7">
            <w:pPr>
              <w:spacing w:before="120" w:beforeLines="50" w:after="120" w:afterLines="50" w:line="360" w:lineRule="auto"/>
              <w:jc w:val="center"/>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引导型</w:t>
            </w:r>
          </w:p>
        </w:tc>
      </w:tr>
    </w:tbl>
    <w:p w14:paraId="23B819F9">
      <w:pPr>
        <w:spacing w:line="360" w:lineRule="auto"/>
        <w:ind w:firstLine="468" w:firstLineChars="200"/>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资源化利用：建筑垃圾经就地利用、分散或集中处理转化为资源化利用产品量占同期建筑垃圾总排放产生量（不含工程渣土、工程泥浆）的比值，包括施工工地现场就地生产再生产品及经建筑垃圾处置企业处理生产再生产品。</w:t>
      </w:r>
    </w:p>
    <w:p w14:paraId="68C93C99">
      <w:pPr>
        <w:spacing w:line="360" w:lineRule="auto"/>
        <w:ind w:firstLine="468" w:firstLineChars="200"/>
        <w:rPr>
          <w:rFonts w:hint="eastAsia"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建筑垃圾资源化利用率（%）=（建筑垃圾就地利用转化为资源化利用产品量+分散或集中处理转化为资源化利用产品量）÷同期建筑垃圾总排放产生量（不含工程渣土、工程泥浆）×100%</w:t>
      </w:r>
    </w:p>
    <w:p w14:paraId="0FD1B04F">
      <w:pPr>
        <w:spacing w:line="360" w:lineRule="auto"/>
        <w:ind w:firstLine="480"/>
        <w:rPr>
          <w:rFonts w:hint="eastAsia" w:ascii="宋体" w:hAnsi="宋体" w:eastAsia="宋体" w:cs="宋体"/>
          <w:color w:val="FF0000"/>
          <w:spacing w:val="-3"/>
          <w:sz w:val="24"/>
          <w:szCs w:val="24"/>
          <w:lang w:eastAsia="zh-CN"/>
        </w:rPr>
      </w:pPr>
    </w:p>
    <w:p w14:paraId="2FFD536F">
      <w:pPr>
        <w:pStyle w:val="8"/>
        <w:spacing w:before="182" w:line="360" w:lineRule="auto"/>
        <w:ind w:left="28" w:right="79" w:firstLine="479"/>
        <w:rPr>
          <w:rFonts w:hint="eastAsia"/>
          <w:lang w:eastAsia="zh-CN"/>
        </w:rPr>
        <w:sectPr>
          <w:headerReference r:id="rId7" w:type="default"/>
          <w:footerReference r:id="rId8" w:type="default"/>
          <w:pgSz w:w="11906" w:h="16839"/>
          <w:pgMar w:top="1225" w:right="1332" w:bottom="1225" w:left="1786" w:header="851" w:footer="851" w:gutter="0"/>
          <w:pgNumType w:fmt="numberInDash"/>
          <w:cols w:space="720" w:num="1"/>
          <w:docGrid w:linePitch="286" w:charSpace="0"/>
        </w:sectPr>
      </w:pPr>
    </w:p>
    <w:p w14:paraId="5BF3CE6C">
      <w:pPr>
        <w:pStyle w:val="8"/>
        <w:spacing w:before="182" w:line="360" w:lineRule="auto"/>
        <w:ind w:left="28" w:right="79"/>
        <w:jc w:val="center"/>
        <w:outlineLvl w:val="0"/>
        <w:rPr>
          <w:rFonts w:hint="eastAsia"/>
          <w:sz w:val="31"/>
          <w:szCs w:val="31"/>
          <w:lang w:eastAsia="zh-CN"/>
        </w:rPr>
      </w:pPr>
      <w:bookmarkStart w:id="74" w:name="bookmark174"/>
      <w:bookmarkEnd w:id="74"/>
      <w:bookmarkStart w:id="75" w:name="bookmark80"/>
      <w:bookmarkEnd w:id="75"/>
      <w:bookmarkStart w:id="76" w:name="bookmark81"/>
      <w:bookmarkEnd w:id="76"/>
      <w:bookmarkStart w:id="77" w:name="_Toc186468115"/>
      <w:r>
        <w:rPr>
          <w:rFonts w:hint="eastAsia"/>
          <w:b/>
          <w:bCs/>
          <w:spacing w:val="-5"/>
          <w:sz w:val="31"/>
          <w:szCs w:val="31"/>
          <w:lang w:eastAsia="zh-CN"/>
        </w:rPr>
        <w:t>第四章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城市建筑垃圾发展预测</w:t>
      </w:r>
      <w:bookmarkEnd w:id="77"/>
    </w:p>
    <w:p w14:paraId="3342F03C">
      <w:pPr>
        <w:pStyle w:val="8"/>
        <w:spacing w:before="182" w:line="360" w:lineRule="auto"/>
        <w:ind w:left="28" w:right="79"/>
        <w:outlineLvl w:val="1"/>
        <w:rPr>
          <w:rFonts w:hint="eastAsia"/>
          <w:lang w:eastAsia="zh-CN"/>
        </w:rPr>
      </w:pPr>
      <w:bookmarkStart w:id="78" w:name="bookmark83"/>
      <w:bookmarkEnd w:id="78"/>
      <w:bookmarkStart w:id="79" w:name="bookmark85"/>
      <w:bookmarkEnd w:id="79"/>
      <w:bookmarkStart w:id="80" w:name="bookmark82"/>
      <w:bookmarkEnd w:id="80"/>
      <w:bookmarkStart w:id="81" w:name="_Toc186468116"/>
      <w:r>
        <w:rPr>
          <w:rFonts w:hint="eastAsia"/>
          <w:b/>
          <w:bCs/>
          <w:spacing w:val="-7"/>
          <w:lang w:eastAsia="zh-CN"/>
        </w:rPr>
        <w:t>第一节</w:t>
      </w:r>
      <w:r>
        <w:rPr>
          <w:spacing w:val="22"/>
          <w:lang w:eastAsia="zh-CN"/>
        </w:rPr>
        <w:t xml:space="preserve"> </w:t>
      </w:r>
      <w:r>
        <w:rPr>
          <w:rFonts w:hint="eastAsia"/>
          <w:b/>
          <w:bCs/>
          <w:spacing w:val="-7"/>
          <w:lang w:eastAsia="zh-CN"/>
        </w:rPr>
        <w:t>产生量预测</w:t>
      </w:r>
      <w:bookmarkEnd w:id="81"/>
    </w:p>
    <w:p w14:paraId="7297CA51">
      <w:pPr>
        <w:pStyle w:val="31"/>
        <w:spacing w:before="21" w:line="360" w:lineRule="auto"/>
        <w:ind w:left="345"/>
        <w:rPr>
          <w:rFonts w:hint="eastAsia" w:cs="Arial"/>
          <w:b/>
          <w:bCs/>
          <w:spacing w:val="-5"/>
          <w:sz w:val="24"/>
          <w:szCs w:val="24"/>
          <w:lang w:eastAsia="zh-CN"/>
        </w:rPr>
      </w:pPr>
      <w:bookmarkStart w:id="82" w:name="bookmark84"/>
      <w:bookmarkEnd w:id="82"/>
      <w:bookmarkStart w:id="83" w:name="bookmark89"/>
      <w:bookmarkEnd w:id="83"/>
      <w:bookmarkStart w:id="84" w:name="bookmark88"/>
      <w:bookmarkEnd w:id="84"/>
      <w:r>
        <w:rPr>
          <w:rFonts w:hint="eastAsia" w:cs="Arial"/>
          <w:b/>
          <w:bCs/>
          <w:spacing w:val="-5"/>
          <w:sz w:val="24"/>
          <w:szCs w:val="24"/>
          <w:lang w:eastAsia="zh-CN"/>
        </w:rPr>
        <w:t>（一）</w:t>
      </w:r>
      <w:r>
        <w:rPr>
          <w:rFonts w:cs="Arial"/>
          <w:b/>
          <w:bCs/>
          <w:spacing w:val="-5"/>
          <w:sz w:val="24"/>
          <w:szCs w:val="24"/>
          <w:lang w:eastAsia="zh-CN"/>
        </w:rPr>
        <w:t>建筑垃圾产生量预测</w:t>
      </w:r>
    </w:p>
    <w:p w14:paraId="3BFC6C9B">
      <w:pPr>
        <w:pStyle w:val="31"/>
        <w:spacing w:before="119" w:line="360" w:lineRule="auto"/>
        <w:ind w:left="295" w:firstLine="480" w:firstLineChars="200"/>
        <w:rPr>
          <w:rFonts w:hint="eastAsia"/>
          <w:sz w:val="24"/>
          <w:szCs w:val="24"/>
          <w:lang w:eastAsia="zh-CN"/>
        </w:rPr>
      </w:pPr>
      <w:r>
        <w:rPr>
          <w:sz w:val="24"/>
          <w:szCs w:val="24"/>
          <w:lang w:eastAsia="zh-CN"/>
        </w:rPr>
        <w:t>根据《夹江县城市总体规划(20</w:t>
      </w:r>
      <w:r>
        <w:rPr>
          <w:rFonts w:hint="eastAsia"/>
          <w:sz w:val="24"/>
          <w:szCs w:val="24"/>
          <w:lang w:eastAsia="zh-CN"/>
        </w:rPr>
        <w:t>21</w:t>
      </w:r>
      <w:r>
        <w:rPr>
          <w:sz w:val="24"/>
          <w:szCs w:val="24"/>
          <w:lang w:eastAsia="zh-CN"/>
        </w:rPr>
        <w:t>～20</w:t>
      </w:r>
      <w:r>
        <w:rPr>
          <w:rFonts w:hint="eastAsia"/>
          <w:sz w:val="24"/>
          <w:szCs w:val="24"/>
          <w:lang w:eastAsia="zh-CN"/>
        </w:rPr>
        <w:t>35</w:t>
      </w:r>
      <w:r>
        <w:rPr>
          <w:sz w:val="24"/>
          <w:szCs w:val="24"/>
          <w:lang w:eastAsia="zh-CN"/>
        </w:rPr>
        <w:t>)》</w:t>
      </w:r>
      <w:r>
        <w:rPr>
          <w:spacing w:val="-1"/>
          <w:sz w:val="24"/>
          <w:szCs w:val="24"/>
          <w:lang w:eastAsia="zh-CN"/>
        </w:rPr>
        <w:t>现场</w:t>
      </w:r>
      <w:r>
        <w:rPr>
          <w:sz w:val="24"/>
          <w:szCs w:val="24"/>
          <w:lang w:eastAsia="zh-CN"/>
        </w:rPr>
        <w:t>调查资料夹江县2025年规划人口为</w:t>
      </w:r>
      <w:r>
        <w:rPr>
          <w:rFonts w:hint="eastAsia"/>
          <w:sz w:val="24"/>
          <w:szCs w:val="24"/>
          <w:lang w:eastAsia="zh-CN"/>
        </w:rPr>
        <w:t>33.8</w:t>
      </w:r>
      <w:r>
        <w:rPr>
          <w:sz w:val="24"/>
          <w:szCs w:val="24"/>
          <w:lang w:eastAsia="zh-CN"/>
        </w:rPr>
        <w:t>万人，在本工程服务年限内夹</w:t>
      </w:r>
      <w:r>
        <w:rPr>
          <w:spacing w:val="-1"/>
          <w:sz w:val="24"/>
          <w:szCs w:val="24"/>
          <w:lang w:eastAsia="zh-CN"/>
        </w:rPr>
        <w:t>江县每年拆除的建筑</w:t>
      </w:r>
      <w:r>
        <w:rPr>
          <w:sz w:val="24"/>
          <w:szCs w:val="24"/>
          <w:lang w:eastAsia="zh-CN"/>
        </w:rPr>
        <w:t>面积平均约为6万平方米，新建的面积平均约为30万平方米。</w:t>
      </w:r>
    </w:p>
    <w:p w14:paraId="531423A5">
      <w:pPr>
        <w:pStyle w:val="31"/>
        <w:spacing w:before="91" w:line="360" w:lineRule="auto"/>
        <w:ind w:firstLine="720" w:firstLineChars="300"/>
        <w:rPr>
          <w:rFonts w:hint="eastAsia"/>
          <w:sz w:val="24"/>
          <w:szCs w:val="24"/>
          <w:lang w:eastAsia="zh-CN"/>
        </w:rPr>
      </w:pPr>
      <w:r>
        <w:rPr>
          <w:sz w:val="24"/>
          <w:szCs w:val="24"/>
          <w:lang w:eastAsia="zh-CN"/>
        </w:rPr>
        <w:t>(</w:t>
      </w:r>
      <w:r>
        <w:rPr>
          <w:rFonts w:hint="eastAsia"/>
          <w:sz w:val="24"/>
          <w:szCs w:val="24"/>
          <w:lang w:eastAsia="zh-CN"/>
        </w:rPr>
        <w:t>1</w:t>
      </w:r>
      <w:r>
        <w:rPr>
          <w:sz w:val="24"/>
          <w:szCs w:val="24"/>
          <w:lang w:eastAsia="zh-CN"/>
        </w:rPr>
        <w:t>)建筑施工垃圾的计算</w:t>
      </w:r>
    </w:p>
    <w:p w14:paraId="2771930D">
      <w:pPr>
        <w:pStyle w:val="31"/>
        <w:spacing w:before="119" w:line="360" w:lineRule="auto"/>
        <w:ind w:left="295" w:firstLine="480" w:firstLineChars="200"/>
        <w:rPr>
          <w:rFonts w:hint="eastAsia"/>
          <w:sz w:val="24"/>
          <w:szCs w:val="24"/>
          <w:lang w:eastAsia="zh-CN"/>
        </w:rPr>
      </w:pPr>
      <w:r>
        <w:rPr>
          <w:sz w:val="24"/>
          <w:szCs w:val="24"/>
          <w:lang w:eastAsia="zh-CN"/>
        </w:rPr>
        <w:t>建筑施工垃圾年产量=年建筑施工面积×建筑面积垃圾产出比</w:t>
      </w:r>
    </w:p>
    <w:p w14:paraId="761125D4">
      <w:pPr>
        <w:pStyle w:val="31"/>
        <w:spacing w:before="119" w:line="360" w:lineRule="auto"/>
        <w:ind w:left="295" w:firstLine="480" w:firstLineChars="200"/>
        <w:rPr>
          <w:rFonts w:hint="eastAsia"/>
          <w:sz w:val="24"/>
          <w:szCs w:val="24"/>
          <w:lang w:eastAsia="zh-CN"/>
        </w:rPr>
      </w:pPr>
      <w:r>
        <w:rPr>
          <w:sz w:val="24"/>
          <w:szCs w:val="24"/>
          <w:lang w:eastAsia="zh-CN"/>
        </w:rPr>
        <w:t>=300000m²×0.05t/m²=15000t</w:t>
      </w:r>
    </w:p>
    <w:p w14:paraId="0AE533C0">
      <w:pPr>
        <w:pStyle w:val="31"/>
        <w:spacing w:before="91" w:line="360" w:lineRule="auto"/>
        <w:ind w:firstLine="720" w:firstLineChars="300"/>
        <w:rPr>
          <w:rFonts w:hint="eastAsia"/>
          <w:sz w:val="24"/>
          <w:szCs w:val="24"/>
          <w:lang w:eastAsia="zh-CN"/>
        </w:rPr>
      </w:pPr>
      <w:bookmarkStart w:id="85" w:name="OLE_LINK3"/>
      <w:r>
        <w:rPr>
          <w:sz w:val="24"/>
          <w:szCs w:val="24"/>
          <w:lang w:eastAsia="zh-CN"/>
        </w:rPr>
        <w:t>(2)</w:t>
      </w:r>
      <w:bookmarkEnd w:id="85"/>
      <w:r>
        <w:rPr>
          <w:sz w:val="24"/>
          <w:szCs w:val="24"/>
          <w:lang w:eastAsia="zh-CN"/>
        </w:rPr>
        <w:t>旧建筑拆除垃圾的计算</w:t>
      </w:r>
    </w:p>
    <w:p w14:paraId="3E798C7C">
      <w:pPr>
        <w:pStyle w:val="31"/>
        <w:spacing w:before="119" w:line="360" w:lineRule="auto"/>
        <w:ind w:left="295" w:firstLine="480" w:firstLineChars="200"/>
        <w:rPr>
          <w:rFonts w:hint="eastAsia"/>
          <w:sz w:val="24"/>
          <w:szCs w:val="24"/>
          <w:lang w:eastAsia="zh-CN"/>
        </w:rPr>
      </w:pPr>
      <w:r>
        <w:rPr>
          <w:sz w:val="24"/>
          <w:szCs w:val="24"/>
          <w:lang w:eastAsia="zh-CN"/>
        </w:rPr>
        <w:t>拆除建筑垃圾年产量=年拆除建筑面积×经验系数</w:t>
      </w:r>
    </w:p>
    <w:p w14:paraId="718D9030">
      <w:pPr>
        <w:pStyle w:val="31"/>
        <w:spacing w:before="119" w:line="360" w:lineRule="auto"/>
        <w:ind w:left="295" w:firstLine="480" w:firstLineChars="200"/>
        <w:rPr>
          <w:rFonts w:hint="eastAsia"/>
          <w:sz w:val="24"/>
          <w:szCs w:val="24"/>
          <w:lang w:eastAsia="zh-CN"/>
        </w:rPr>
      </w:pPr>
      <w:r>
        <w:rPr>
          <w:sz w:val="24"/>
          <w:szCs w:val="24"/>
          <w:lang w:eastAsia="zh-CN"/>
        </w:rPr>
        <w:t>=60000m²×1.25t/m²=75000t</w:t>
      </w:r>
    </w:p>
    <w:p w14:paraId="5EE187C8">
      <w:pPr>
        <w:pStyle w:val="31"/>
        <w:spacing w:before="100" w:line="360" w:lineRule="auto"/>
        <w:ind w:left="345" w:firstLine="480" w:firstLineChars="200"/>
        <w:rPr>
          <w:rFonts w:hint="eastAsia"/>
          <w:sz w:val="24"/>
          <w:szCs w:val="24"/>
          <w:lang w:eastAsia="zh-CN"/>
        </w:rPr>
      </w:pPr>
      <w:r>
        <w:rPr>
          <w:sz w:val="24"/>
          <w:szCs w:val="24"/>
          <w:lang w:eastAsia="zh-CN"/>
        </w:rPr>
        <w:t>(3)夹江县建筑垃圾平均每年总产量</w:t>
      </w:r>
    </w:p>
    <w:p w14:paraId="0D22F7B9">
      <w:pPr>
        <w:pStyle w:val="31"/>
        <w:spacing w:before="119" w:line="360" w:lineRule="auto"/>
        <w:ind w:left="295" w:firstLine="480" w:firstLineChars="200"/>
        <w:rPr>
          <w:rFonts w:hint="eastAsia"/>
          <w:sz w:val="24"/>
          <w:szCs w:val="24"/>
          <w:lang w:eastAsia="zh-CN"/>
        </w:rPr>
      </w:pPr>
      <w:r>
        <w:rPr>
          <w:sz w:val="24"/>
          <w:szCs w:val="24"/>
          <w:lang w:eastAsia="zh-CN"/>
        </w:rPr>
        <w:t>建筑垃圾年产量=建筑施工垃圾年产量+拆除建筑垃圾年产量</w:t>
      </w:r>
    </w:p>
    <w:p w14:paraId="1186358C">
      <w:pPr>
        <w:pStyle w:val="31"/>
        <w:spacing w:before="119" w:line="360" w:lineRule="auto"/>
        <w:ind w:left="295" w:firstLine="480" w:firstLineChars="200"/>
        <w:rPr>
          <w:rFonts w:hint="eastAsia"/>
          <w:sz w:val="24"/>
          <w:szCs w:val="24"/>
          <w:lang w:eastAsia="zh-CN"/>
        </w:rPr>
      </w:pPr>
      <w:r>
        <w:rPr>
          <w:sz w:val="24"/>
          <w:szCs w:val="24"/>
          <w:lang w:eastAsia="zh-CN"/>
        </w:rPr>
        <w:t>=15000t+75000t=90000t</w:t>
      </w:r>
    </w:p>
    <w:p w14:paraId="64C0FE52">
      <w:pPr>
        <w:pStyle w:val="31"/>
        <w:spacing w:before="1" w:line="360" w:lineRule="auto"/>
        <w:ind w:left="345" w:firstLine="480" w:firstLineChars="200"/>
        <w:rPr>
          <w:rFonts w:hint="eastAsia"/>
          <w:spacing w:val="-1"/>
          <w:sz w:val="24"/>
          <w:szCs w:val="24"/>
          <w:lang w:eastAsia="zh-CN"/>
        </w:rPr>
      </w:pPr>
      <w:r>
        <w:rPr>
          <w:sz w:val="24"/>
          <w:szCs w:val="24"/>
          <w:lang w:eastAsia="zh-CN"/>
        </w:rPr>
        <w:t>综上所述，夹江县建筑垃圾平均每年总产量为</w:t>
      </w:r>
      <w:bookmarkStart w:id="86" w:name="OLE_LINK8"/>
      <w:r>
        <w:rPr>
          <w:sz w:val="24"/>
          <w:szCs w:val="24"/>
          <w:lang w:eastAsia="zh-CN"/>
        </w:rPr>
        <w:t>90000t</w:t>
      </w:r>
      <w:bookmarkEnd w:id="86"/>
      <w:r>
        <w:rPr>
          <w:sz w:val="24"/>
          <w:szCs w:val="24"/>
          <w:lang w:eastAsia="zh-CN"/>
        </w:rPr>
        <w:t>,平均日产量为246</w:t>
      </w:r>
      <w:r>
        <w:rPr>
          <w:spacing w:val="-1"/>
          <w:sz w:val="24"/>
          <w:szCs w:val="24"/>
          <w:lang w:eastAsia="zh-CN"/>
        </w:rPr>
        <w:t>t。</w:t>
      </w:r>
    </w:p>
    <w:p w14:paraId="5AE96E0C">
      <w:pPr>
        <w:pStyle w:val="31"/>
        <w:spacing w:before="145" w:line="360" w:lineRule="auto"/>
        <w:rPr>
          <w:rFonts w:hint="eastAsia" w:cs="Arial"/>
          <w:b/>
          <w:bCs/>
          <w:spacing w:val="-5"/>
          <w:sz w:val="24"/>
          <w:szCs w:val="24"/>
          <w:lang w:eastAsia="zh-CN"/>
        </w:rPr>
      </w:pPr>
      <w:r>
        <w:rPr>
          <w:rFonts w:hint="eastAsia" w:cs="Arial"/>
          <w:b/>
          <w:bCs/>
          <w:spacing w:val="-5"/>
          <w:sz w:val="24"/>
          <w:szCs w:val="24"/>
          <w:lang w:eastAsia="zh-CN"/>
        </w:rPr>
        <w:t>（二）</w:t>
      </w:r>
      <w:r>
        <w:rPr>
          <w:rFonts w:cs="Arial"/>
          <w:b/>
          <w:bCs/>
          <w:spacing w:val="-5"/>
          <w:sz w:val="24"/>
          <w:szCs w:val="24"/>
          <w:lang w:eastAsia="zh-CN"/>
        </w:rPr>
        <w:t>建筑垃圾成分预测</w:t>
      </w:r>
    </w:p>
    <w:p w14:paraId="482FAF88">
      <w:pPr>
        <w:pStyle w:val="31"/>
        <w:spacing w:before="109" w:line="360" w:lineRule="auto"/>
        <w:ind w:left="84" w:right="80" w:firstLine="480" w:firstLineChars="200"/>
        <w:rPr>
          <w:rFonts w:hint="eastAsia"/>
          <w:sz w:val="24"/>
          <w:szCs w:val="24"/>
          <w:lang w:eastAsia="zh-CN"/>
        </w:rPr>
      </w:pPr>
      <w:r>
        <w:rPr>
          <w:sz w:val="24"/>
          <w:szCs w:val="24"/>
          <w:lang w:eastAsia="zh-CN"/>
        </w:rPr>
        <w:t>夹江县建筑垃圾主要由新建筑物建设施工和旧建筑物拆除所产生的垃圾组成。废弃建筑物拆除所产生的垃圾组成：不同结构类型建筑物所产生的建筑垃圾各种成分的含量会有所不同，其基本组成一致，主要由渣土、灰尘、砖块、混凝土、玻璃、竹木、塑料、金属等组成。</w:t>
      </w:r>
    </w:p>
    <w:p w14:paraId="686DC0D5">
      <w:pPr>
        <w:pStyle w:val="31"/>
        <w:spacing w:before="108" w:line="360" w:lineRule="auto"/>
        <w:ind w:left="87" w:right="13" w:firstLine="480" w:firstLineChars="200"/>
        <w:rPr>
          <w:rFonts w:hint="eastAsia"/>
          <w:sz w:val="24"/>
          <w:szCs w:val="24"/>
          <w:lang w:eastAsia="zh-CN"/>
        </w:rPr>
      </w:pPr>
      <w:r>
        <w:rPr>
          <w:sz w:val="24"/>
          <w:szCs w:val="24"/>
          <w:lang w:eastAsia="zh-CN"/>
        </w:rPr>
        <w:t>废弃建筑物垃圾各组分含量：废弃建筑物垃圾各组分含量与建筑物的种类有关。废弃的旧居民建筑物中，砖块、混凝土块、瓦砾占大部分，约为80%(其中废弃混凝土约为38%),其余为木料、碎玻璃、石灰、黏土渣等；废旧工业厂房、楼宇建筑中，混凝土块约占50%多，其余为金属、砖块、砌块、塑料制品、玻璃、有机涂料等；桥梁、道路、堤坝等建筑中主要为废弃混凝土，约占80%。</w:t>
      </w:r>
    </w:p>
    <w:p w14:paraId="558B8FB5">
      <w:pPr>
        <w:pStyle w:val="31"/>
        <w:spacing w:before="17" w:line="360" w:lineRule="auto"/>
        <w:ind w:left="87" w:firstLine="480" w:firstLineChars="200"/>
        <w:rPr>
          <w:rFonts w:hint="eastAsia"/>
          <w:sz w:val="24"/>
          <w:szCs w:val="24"/>
          <w:lang w:eastAsia="zh-CN"/>
        </w:rPr>
      </w:pPr>
      <w:r>
        <w:rPr>
          <w:sz w:val="24"/>
          <w:szCs w:val="24"/>
          <w:lang w:eastAsia="zh-CN"/>
        </w:rPr>
        <w:t>国内外研究表明，建筑垃圾来源于工程建筑的各个阶段，不同阶段产生的建筑垃圾成分也不相同。具体而言，在建筑物建造过程中，建筑物的设计方案、工人的技术操作素养、建筑材料以及施工过程的管理对建筑垃圾的产生量具有重要影响；在建筑物的装修过程中，建筑垃圾主要来源于材料切割后的剩余；在拆毁过程中，建筑垃圾产生量的变化则主要由建筑物的结构或功类型所决定。此外，不同建筑类型的建筑垃圾成分回收率也与工程类型有一定的关系。</w:t>
      </w:r>
    </w:p>
    <w:p w14:paraId="6614F4E8">
      <w:pPr>
        <w:pStyle w:val="31"/>
        <w:spacing w:before="1" w:line="360" w:lineRule="auto"/>
        <w:ind w:left="84" w:right="51" w:firstLine="480" w:firstLineChars="200"/>
        <w:rPr>
          <w:rFonts w:hint="eastAsia"/>
          <w:sz w:val="24"/>
          <w:szCs w:val="24"/>
          <w:lang w:eastAsia="zh-CN"/>
        </w:rPr>
      </w:pPr>
      <w:r>
        <w:rPr>
          <w:sz w:val="24"/>
          <w:szCs w:val="24"/>
          <w:lang w:eastAsia="zh-CN"/>
        </w:rPr>
        <w:t>根据上述分析，结合现场建筑垃圾堆放点调查，对进入夹江县建筑</w:t>
      </w:r>
      <w:r>
        <w:rPr>
          <w:spacing w:val="-1"/>
          <w:sz w:val="24"/>
          <w:szCs w:val="24"/>
          <w:lang w:eastAsia="zh-CN"/>
        </w:rPr>
        <w:t>垃圾处理场的建筑</w:t>
      </w:r>
      <w:r>
        <w:rPr>
          <w:sz w:val="24"/>
          <w:szCs w:val="24"/>
          <w:lang w:eastAsia="zh-CN"/>
        </w:rPr>
        <w:t xml:space="preserve"> 垃圾成分进行预测，详见表</w:t>
      </w:r>
      <w:r>
        <w:rPr>
          <w:rFonts w:hint="eastAsia"/>
          <w:sz w:val="24"/>
          <w:szCs w:val="24"/>
          <w:lang w:eastAsia="zh-CN"/>
        </w:rPr>
        <w:t>：</w:t>
      </w:r>
    </w:p>
    <w:p w14:paraId="4D046689">
      <w:pPr>
        <w:pStyle w:val="31"/>
        <w:spacing w:before="106" w:line="360" w:lineRule="auto"/>
        <w:ind w:left="365"/>
        <w:jc w:val="center"/>
        <w:rPr>
          <w:rFonts w:hint="eastAsia"/>
          <w:sz w:val="24"/>
          <w:szCs w:val="24"/>
          <w:lang w:eastAsia="zh-CN"/>
        </w:rPr>
      </w:pPr>
      <w:r>
        <w:rPr>
          <w:b/>
          <w:bCs/>
          <w:spacing w:val="-3"/>
          <w:sz w:val="24"/>
          <w:szCs w:val="24"/>
          <w:lang w:eastAsia="zh-CN"/>
        </w:rPr>
        <w:t>夹江县建筑垃圾成分含量预测</w:t>
      </w:r>
    </w:p>
    <w:tbl>
      <w:tblPr>
        <w:tblStyle w:val="30"/>
        <w:tblW w:w="8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5"/>
        <w:gridCol w:w="809"/>
        <w:gridCol w:w="679"/>
        <w:gridCol w:w="771"/>
        <w:gridCol w:w="709"/>
        <w:gridCol w:w="851"/>
        <w:gridCol w:w="992"/>
        <w:gridCol w:w="850"/>
        <w:gridCol w:w="1134"/>
      </w:tblGrid>
      <w:tr w14:paraId="5508E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1285" w:type="dxa"/>
          </w:tcPr>
          <w:p w14:paraId="3CDE7215">
            <w:pPr>
              <w:pStyle w:val="31"/>
              <w:spacing w:before="42" w:line="360" w:lineRule="auto"/>
              <w:ind w:left="147"/>
              <w:jc w:val="center"/>
              <w:rPr>
                <w:rFonts w:hint="eastAsia"/>
                <w:sz w:val="24"/>
                <w:szCs w:val="24"/>
              </w:rPr>
            </w:pPr>
            <w:r>
              <w:rPr>
                <w:spacing w:val="-4"/>
                <w:sz w:val="24"/>
                <w:szCs w:val="24"/>
              </w:rPr>
              <w:t>成分</w:t>
            </w:r>
          </w:p>
        </w:tc>
        <w:tc>
          <w:tcPr>
            <w:tcW w:w="809" w:type="dxa"/>
          </w:tcPr>
          <w:p w14:paraId="3CCB6114">
            <w:pPr>
              <w:pStyle w:val="31"/>
              <w:spacing w:before="43" w:line="360" w:lineRule="auto"/>
              <w:ind w:left="74"/>
              <w:jc w:val="center"/>
              <w:rPr>
                <w:rFonts w:hint="eastAsia"/>
                <w:sz w:val="24"/>
                <w:szCs w:val="24"/>
              </w:rPr>
            </w:pPr>
            <w:r>
              <w:rPr>
                <w:spacing w:val="-4"/>
                <w:sz w:val="24"/>
                <w:szCs w:val="24"/>
              </w:rPr>
              <w:t>混凝土</w:t>
            </w:r>
          </w:p>
        </w:tc>
        <w:tc>
          <w:tcPr>
            <w:tcW w:w="679" w:type="dxa"/>
          </w:tcPr>
          <w:p w14:paraId="615800C0">
            <w:pPr>
              <w:pStyle w:val="31"/>
              <w:spacing w:before="42" w:line="360" w:lineRule="auto"/>
              <w:ind w:left="65"/>
              <w:jc w:val="center"/>
              <w:rPr>
                <w:rFonts w:hint="eastAsia"/>
                <w:sz w:val="24"/>
                <w:szCs w:val="24"/>
              </w:rPr>
            </w:pPr>
            <w:r>
              <w:rPr>
                <w:spacing w:val="-4"/>
                <w:sz w:val="24"/>
                <w:szCs w:val="24"/>
              </w:rPr>
              <w:t>石块</w:t>
            </w:r>
          </w:p>
        </w:tc>
        <w:tc>
          <w:tcPr>
            <w:tcW w:w="771" w:type="dxa"/>
          </w:tcPr>
          <w:p w14:paraId="0821A058">
            <w:pPr>
              <w:pStyle w:val="31"/>
              <w:spacing w:before="46" w:line="360" w:lineRule="auto"/>
              <w:ind w:left="113"/>
              <w:jc w:val="center"/>
              <w:rPr>
                <w:rFonts w:hint="eastAsia"/>
                <w:sz w:val="24"/>
                <w:szCs w:val="24"/>
              </w:rPr>
            </w:pPr>
            <w:r>
              <w:rPr>
                <w:spacing w:val="-2"/>
                <w:sz w:val="24"/>
                <w:szCs w:val="24"/>
              </w:rPr>
              <w:t>泥土</w:t>
            </w:r>
          </w:p>
        </w:tc>
        <w:tc>
          <w:tcPr>
            <w:tcW w:w="709" w:type="dxa"/>
          </w:tcPr>
          <w:p w14:paraId="0D10F43D">
            <w:pPr>
              <w:pStyle w:val="31"/>
              <w:spacing w:before="42" w:line="360" w:lineRule="auto"/>
              <w:ind w:left="117"/>
              <w:jc w:val="center"/>
              <w:rPr>
                <w:rFonts w:hint="eastAsia"/>
                <w:sz w:val="24"/>
                <w:szCs w:val="24"/>
              </w:rPr>
            </w:pPr>
            <w:r>
              <w:rPr>
                <w:spacing w:val="-4"/>
                <w:sz w:val="24"/>
                <w:szCs w:val="24"/>
              </w:rPr>
              <w:t>砖块</w:t>
            </w:r>
          </w:p>
        </w:tc>
        <w:tc>
          <w:tcPr>
            <w:tcW w:w="851" w:type="dxa"/>
          </w:tcPr>
          <w:p w14:paraId="5E767856">
            <w:pPr>
              <w:pStyle w:val="31"/>
              <w:spacing w:before="42" w:line="360" w:lineRule="auto"/>
              <w:ind w:left="38"/>
              <w:jc w:val="center"/>
              <w:rPr>
                <w:rFonts w:hint="eastAsia"/>
                <w:sz w:val="24"/>
                <w:szCs w:val="24"/>
              </w:rPr>
            </w:pPr>
            <w:r>
              <w:rPr>
                <w:spacing w:val="-4"/>
                <w:sz w:val="24"/>
                <w:szCs w:val="24"/>
              </w:rPr>
              <w:t>玻璃</w:t>
            </w:r>
          </w:p>
        </w:tc>
        <w:tc>
          <w:tcPr>
            <w:tcW w:w="992" w:type="dxa"/>
          </w:tcPr>
          <w:p w14:paraId="01F37395">
            <w:pPr>
              <w:pStyle w:val="31"/>
              <w:spacing w:before="42" w:line="360" w:lineRule="auto"/>
              <w:ind w:left="29"/>
              <w:jc w:val="center"/>
              <w:rPr>
                <w:rFonts w:hint="eastAsia"/>
                <w:sz w:val="24"/>
                <w:szCs w:val="24"/>
              </w:rPr>
            </w:pPr>
            <w:r>
              <w:rPr>
                <w:spacing w:val="-3"/>
                <w:sz w:val="24"/>
                <w:szCs w:val="24"/>
              </w:rPr>
              <w:t>废金属</w:t>
            </w:r>
          </w:p>
        </w:tc>
        <w:tc>
          <w:tcPr>
            <w:tcW w:w="850" w:type="dxa"/>
          </w:tcPr>
          <w:p w14:paraId="73A5C3AA">
            <w:pPr>
              <w:pStyle w:val="31"/>
              <w:spacing w:before="41" w:line="360" w:lineRule="auto"/>
              <w:ind w:left="50"/>
              <w:jc w:val="center"/>
              <w:rPr>
                <w:rFonts w:hint="eastAsia"/>
                <w:sz w:val="24"/>
                <w:szCs w:val="24"/>
              </w:rPr>
            </w:pPr>
            <w:r>
              <w:rPr>
                <w:spacing w:val="-4"/>
                <w:sz w:val="24"/>
                <w:szCs w:val="24"/>
              </w:rPr>
              <w:t>塑料管</w:t>
            </w:r>
          </w:p>
        </w:tc>
        <w:tc>
          <w:tcPr>
            <w:tcW w:w="1134" w:type="dxa"/>
          </w:tcPr>
          <w:p w14:paraId="395034DD">
            <w:pPr>
              <w:pStyle w:val="31"/>
              <w:spacing w:before="42" w:line="360" w:lineRule="auto"/>
              <w:ind w:left="51"/>
              <w:jc w:val="center"/>
              <w:rPr>
                <w:rFonts w:hint="eastAsia"/>
                <w:sz w:val="24"/>
                <w:szCs w:val="24"/>
              </w:rPr>
            </w:pPr>
            <w:r>
              <w:rPr>
                <w:spacing w:val="-4"/>
                <w:sz w:val="24"/>
                <w:szCs w:val="24"/>
              </w:rPr>
              <w:t>竹木</w:t>
            </w:r>
          </w:p>
        </w:tc>
      </w:tr>
      <w:tr w14:paraId="2C98F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1285" w:type="dxa"/>
          </w:tcPr>
          <w:p w14:paraId="5183F731">
            <w:pPr>
              <w:pStyle w:val="31"/>
              <w:spacing w:before="45" w:line="360" w:lineRule="auto"/>
              <w:ind w:left="145"/>
              <w:jc w:val="center"/>
              <w:rPr>
                <w:rFonts w:hint="eastAsia"/>
                <w:sz w:val="24"/>
                <w:szCs w:val="24"/>
              </w:rPr>
            </w:pPr>
            <w:r>
              <w:rPr>
                <w:spacing w:val="5"/>
                <w:sz w:val="24"/>
                <w:szCs w:val="24"/>
              </w:rPr>
              <w:t>百分比(%)</w:t>
            </w:r>
          </w:p>
        </w:tc>
        <w:tc>
          <w:tcPr>
            <w:tcW w:w="809" w:type="dxa"/>
          </w:tcPr>
          <w:p w14:paraId="4EAEEAB1">
            <w:pPr>
              <w:pStyle w:val="31"/>
              <w:spacing w:before="86" w:line="360" w:lineRule="auto"/>
              <w:ind w:left="72"/>
              <w:jc w:val="center"/>
              <w:rPr>
                <w:rFonts w:hint="eastAsia"/>
                <w:sz w:val="24"/>
                <w:szCs w:val="24"/>
              </w:rPr>
            </w:pPr>
            <w:r>
              <w:rPr>
                <w:spacing w:val="-2"/>
                <w:position w:val="-2"/>
                <w:sz w:val="24"/>
                <w:szCs w:val="24"/>
              </w:rPr>
              <w:t>22.0</w:t>
            </w:r>
          </w:p>
        </w:tc>
        <w:tc>
          <w:tcPr>
            <w:tcW w:w="679" w:type="dxa"/>
          </w:tcPr>
          <w:p w14:paraId="276E649D">
            <w:pPr>
              <w:pStyle w:val="31"/>
              <w:spacing w:before="86" w:line="360" w:lineRule="auto"/>
              <w:ind w:left="63"/>
              <w:jc w:val="center"/>
              <w:rPr>
                <w:rFonts w:hint="eastAsia"/>
                <w:sz w:val="24"/>
                <w:szCs w:val="24"/>
              </w:rPr>
            </w:pPr>
            <w:r>
              <w:rPr>
                <w:spacing w:val="-2"/>
                <w:position w:val="-2"/>
                <w:sz w:val="24"/>
                <w:szCs w:val="24"/>
              </w:rPr>
              <w:t>21.6</w:t>
            </w:r>
          </w:p>
        </w:tc>
        <w:tc>
          <w:tcPr>
            <w:tcW w:w="771" w:type="dxa"/>
          </w:tcPr>
          <w:p w14:paraId="5116AC7B">
            <w:pPr>
              <w:pStyle w:val="31"/>
              <w:spacing w:before="86" w:line="360" w:lineRule="auto"/>
              <w:ind w:left="113"/>
              <w:jc w:val="center"/>
              <w:rPr>
                <w:rFonts w:hint="eastAsia"/>
                <w:sz w:val="24"/>
                <w:szCs w:val="24"/>
              </w:rPr>
            </w:pPr>
            <w:r>
              <w:rPr>
                <w:spacing w:val="-2"/>
                <w:position w:val="-2"/>
                <w:sz w:val="24"/>
                <w:szCs w:val="24"/>
              </w:rPr>
              <w:t>34.3</w:t>
            </w:r>
          </w:p>
        </w:tc>
        <w:tc>
          <w:tcPr>
            <w:tcW w:w="709" w:type="dxa"/>
          </w:tcPr>
          <w:p w14:paraId="6DE3D587">
            <w:pPr>
              <w:pStyle w:val="31"/>
              <w:spacing w:before="86" w:line="360" w:lineRule="auto"/>
              <w:ind w:left="115"/>
              <w:jc w:val="center"/>
              <w:rPr>
                <w:rFonts w:hint="eastAsia"/>
                <w:sz w:val="24"/>
                <w:szCs w:val="24"/>
              </w:rPr>
            </w:pPr>
            <w:r>
              <w:rPr>
                <w:spacing w:val="-5"/>
                <w:position w:val="-2"/>
                <w:sz w:val="24"/>
                <w:szCs w:val="24"/>
              </w:rPr>
              <w:t>1.3</w:t>
            </w:r>
          </w:p>
        </w:tc>
        <w:tc>
          <w:tcPr>
            <w:tcW w:w="851" w:type="dxa"/>
          </w:tcPr>
          <w:p w14:paraId="58839CFE">
            <w:pPr>
              <w:pStyle w:val="31"/>
              <w:spacing w:before="86" w:line="360" w:lineRule="auto"/>
              <w:ind w:left="35"/>
              <w:jc w:val="center"/>
              <w:rPr>
                <w:rFonts w:hint="eastAsia"/>
                <w:sz w:val="24"/>
                <w:szCs w:val="24"/>
              </w:rPr>
            </w:pPr>
            <w:r>
              <w:rPr>
                <w:spacing w:val="-2"/>
                <w:position w:val="-2"/>
                <w:sz w:val="24"/>
                <w:szCs w:val="24"/>
              </w:rPr>
              <w:t>0.5</w:t>
            </w:r>
          </w:p>
        </w:tc>
        <w:tc>
          <w:tcPr>
            <w:tcW w:w="992" w:type="dxa"/>
          </w:tcPr>
          <w:p w14:paraId="4C2AAD57">
            <w:pPr>
              <w:pStyle w:val="31"/>
              <w:spacing w:before="86" w:line="360" w:lineRule="auto"/>
              <w:ind w:left="27"/>
              <w:jc w:val="center"/>
              <w:rPr>
                <w:rFonts w:hint="eastAsia"/>
                <w:sz w:val="24"/>
                <w:szCs w:val="24"/>
              </w:rPr>
            </w:pPr>
            <w:r>
              <w:rPr>
                <w:spacing w:val="-2"/>
                <w:position w:val="-2"/>
                <w:sz w:val="24"/>
                <w:szCs w:val="24"/>
              </w:rPr>
              <w:t>4.1</w:t>
            </w:r>
          </w:p>
        </w:tc>
        <w:tc>
          <w:tcPr>
            <w:tcW w:w="850" w:type="dxa"/>
          </w:tcPr>
          <w:p w14:paraId="1C48C01E">
            <w:pPr>
              <w:pStyle w:val="31"/>
              <w:spacing w:before="86" w:line="360" w:lineRule="auto"/>
              <w:ind w:left="48"/>
              <w:jc w:val="center"/>
              <w:rPr>
                <w:rFonts w:hint="eastAsia"/>
                <w:sz w:val="24"/>
                <w:szCs w:val="24"/>
              </w:rPr>
            </w:pPr>
            <w:r>
              <w:rPr>
                <w:spacing w:val="-5"/>
                <w:position w:val="-2"/>
                <w:sz w:val="24"/>
                <w:szCs w:val="24"/>
              </w:rPr>
              <w:t>1.0</w:t>
            </w:r>
          </w:p>
        </w:tc>
        <w:tc>
          <w:tcPr>
            <w:tcW w:w="1134" w:type="dxa"/>
          </w:tcPr>
          <w:p w14:paraId="2DFF0CC0">
            <w:pPr>
              <w:pStyle w:val="31"/>
              <w:spacing w:before="86" w:line="360" w:lineRule="auto"/>
              <w:ind w:left="48"/>
              <w:jc w:val="center"/>
              <w:rPr>
                <w:rFonts w:hint="eastAsia"/>
                <w:sz w:val="24"/>
                <w:szCs w:val="24"/>
              </w:rPr>
            </w:pPr>
            <w:r>
              <w:rPr>
                <w:spacing w:val="-4"/>
                <w:position w:val="-2"/>
                <w:sz w:val="24"/>
                <w:szCs w:val="24"/>
              </w:rPr>
              <w:t>10.2</w:t>
            </w:r>
          </w:p>
        </w:tc>
      </w:tr>
    </w:tbl>
    <w:p w14:paraId="026353C4">
      <w:pPr>
        <w:spacing w:line="360" w:lineRule="auto"/>
        <w:rPr>
          <w:rFonts w:hint="eastAsia" w:ascii="宋体" w:hAnsi="宋体" w:eastAsia="宋体"/>
          <w:sz w:val="24"/>
          <w:szCs w:val="24"/>
          <w:lang w:eastAsia="zh-CN"/>
        </w:rPr>
      </w:pPr>
    </w:p>
    <w:p w14:paraId="27139FA7">
      <w:pPr>
        <w:pStyle w:val="8"/>
        <w:spacing w:before="182" w:line="360" w:lineRule="auto"/>
        <w:ind w:left="28" w:right="79"/>
        <w:outlineLvl w:val="1"/>
        <w:rPr>
          <w:rFonts w:hint="eastAsia"/>
          <w:b/>
          <w:bCs/>
          <w:spacing w:val="-3"/>
          <w:lang w:eastAsia="zh-CN"/>
        </w:rPr>
      </w:pPr>
      <w:bookmarkStart w:id="87" w:name="_Toc186468117"/>
      <w:r>
        <w:rPr>
          <w:rFonts w:hint="eastAsia"/>
          <w:b/>
          <w:bCs/>
          <w:spacing w:val="-3"/>
          <w:lang w:eastAsia="zh-CN"/>
        </w:rPr>
        <w:t>第二节</w:t>
      </w:r>
      <w:r>
        <w:rPr>
          <w:spacing w:val="-3"/>
          <w:lang w:eastAsia="zh-CN"/>
        </w:rPr>
        <w:t xml:space="preserve"> </w:t>
      </w:r>
      <w:r>
        <w:rPr>
          <w:rFonts w:hint="eastAsia"/>
          <w:b/>
          <w:bCs/>
          <w:spacing w:val="-3"/>
          <w:lang w:eastAsia="zh-CN"/>
        </w:rPr>
        <w:t>处置量预测</w:t>
      </w:r>
      <w:bookmarkEnd w:id="87"/>
    </w:p>
    <w:p w14:paraId="1FB7370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根据夹江县建筑垃圾资源化利用情况，现有的建筑垃圾大部分都被用于填埋消纳，填埋量主要由部分工程渣土、工程泥浆以及装修垃圾灰土三部分组成。随着全县建筑垃圾相关政策的进一步加强，规划近远期会加大建筑垃圾的资源化利用处置。</w:t>
      </w:r>
    </w:p>
    <w:p w14:paraId="15DD6188">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（一）建筑垃圾资源化利用量</w:t>
      </w:r>
    </w:p>
    <w:p w14:paraId="0C0F3732">
      <w:pPr>
        <w:pStyle w:val="31"/>
        <w:spacing w:before="135" w:line="360" w:lineRule="auto"/>
        <w:ind w:left="11" w:right="91" w:firstLine="476" w:firstLineChars="200"/>
        <w:rPr>
          <w:rFonts w:hint="eastAsia"/>
          <w:spacing w:val="-1"/>
          <w:sz w:val="24"/>
          <w:szCs w:val="24"/>
          <w:lang w:eastAsia="zh-CN"/>
        </w:rPr>
      </w:pPr>
      <w:r>
        <w:rPr>
          <w:spacing w:val="-1"/>
          <w:sz w:val="24"/>
          <w:szCs w:val="24"/>
          <w:lang w:eastAsia="zh-CN"/>
        </w:rPr>
        <w:t>建筑垃圾在产生过程中，同时也伴随着回收利用，拆迁工程中砖石和陶瓷所占比重达到40.5%,并且有38%的砖石被回收，主要用于砌筑围场、工棚等临时建筑；施工工程和装潢工程中，混凝土、砖石的回收主要用于回填和场地平整以及铺设路基。</w:t>
      </w:r>
    </w:p>
    <w:p w14:paraId="260E16DC">
      <w:pPr>
        <w:pStyle w:val="31"/>
        <w:spacing w:before="135" w:line="360" w:lineRule="auto"/>
        <w:ind w:left="11" w:right="91" w:firstLine="476" w:firstLineChars="200"/>
        <w:rPr>
          <w:rFonts w:hint="eastAsia"/>
          <w:spacing w:val="-1"/>
          <w:sz w:val="24"/>
          <w:szCs w:val="24"/>
          <w:lang w:eastAsia="zh-CN"/>
        </w:rPr>
      </w:pPr>
      <w:r>
        <w:rPr>
          <w:spacing w:val="-1"/>
          <w:sz w:val="24"/>
          <w:szCs w:val="24"/>
          <w:lang w:eastAsia="zh-CN"/>
        </w:rPr>
        <w:t>此外，三类建筑工程中，金属、塑料等建筑垃圾的回收率普遍较高，主要是由工人收集后送废品回收站</w:t>
      </w:r>
      <w:r>
        <w:rPr>
          <w:rFonts w:hint="eastAsia"/>
          <w:spacing w:val="-1"/>
          <w:sz w:val="24"/>
          <w:szCs w:val="24"/>
          <w:lang w:eastAsia="zh-CN"/>
        </w:rPr>
        <w:t>。</w:t>
      </w:r>
      <w:r>
        <w:rPr>
          <w:spacing w:val="-1"/>
          <w:sz w:val="24"/>
          <w:szCs w:val="24"/>
          <w:lang w:eastAsia="zh-CN"/>
        </w:rPr>
        <w:t>因此</w:t>
      </w:r>
      <w:r>
        <w:rPr>
          <w:rFonts w:hint="eastAsia"/>
          <w:spacing w:val="-1"/>
          <w:sz w:val="24"/>
          <w:szCs w:val="24"/>
          <w:lang w:eastAsia="zh-CN"/>
        </w:rPr>
        <w:t>，</w:t>
      </w:r>
      <w:r>
        <w:rPr>
          <w:spacing w:val="-1"/>
          <w:sz w:val="24"/>
          <w:szCs w:val="24"/>
          <w:lang w:eastAsia="zh-CN"/>
        </w:rPr>
        <w:t>处理规模与建筑垃圾的回收率有很大关系。</w:t>
      </w:r>
      <w:r>
        <w:rPr>
          <w:rFonts w:hint="eastAsia"/>
          <w:spacing w:val="-1"/>
          <w:sz w:val="24"/>
          <w:szCs w:val="24"/>
          <w:lang w:eastAsia="zh-CN"/>
        </w:rPr>
        <w:t>目前，夹江县峨威水泥有限公司年回收利用量最大可达20万吨。</w:t>
      </w:r>
    </w:p>
    <w:p w14:paraId="4242581A">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（二）建筑垃圾填埋量</w:t>
      </w:r>
    </w:p>
    <w:p w14:paraId="61EF436B">
      <w:pPr>
        <w:pStyle w:val="31"/>
        <w:spacing w:before="135" w:line="360" w:lineRule="auto"/>
        <w:ind w:left="11" w:right="91" w:firstLine="476" w:firstLineChars="200"/>
        <w:rPr>
          <w:rFonts w:hint="eastAsia"/>
          <w:spacing w:val="-1"/>
          <w:sz w:val="24"/>
          <w:szCs w:val="24"/>
          <w:lang w:eastAsia="zh-CN"/>
        </w:rPr>
      </w:pPr>
      <w:r>
        <w:rPr>
          <w:spacing w:val="-1"/>
          <w:sz w:val="24"/>
          <w:szCs w:val="24"/>
          <w:lang w:eastAsia="zh-CN"/>
        </w:rPr>
        <w:t>建筑垃圾按不同的产生源、种类、性质进行分别堆放、分流收运，分别处理。建筑垃圾收运、处置过程中严禁生活垃圾和危险废物等进入垃圾填埋场。建筑垃圾运输车辆按照核准的路线和时间行驶，并行驶至核准的地点处理、处置建筑垃圾。</w:t>
      </w:r>
      <w:r>
        <w:rPr>
          <w:rFonts w:hint="eastAsia"/>
          <w:spacing w:val="-1"/>
          <w:sz w:val="24"/>
          <w:szCs w:val="24"/>
          <w:lang w:eastAsia="zh-CN"/>
        </w:rPr>
        <w:t>位于</w:t>
      </w:r>
      <w:r>
        <w:rPr>
          <w:spacing w:val="-1"/>
          <w:sz w:val="24"/>
          <w:szCs w:val="24"/>
          <w:lang w:eastAsia="zh-CN"/>
        </w:rPr>
        <w:t>夹江县土门乡万福村一社</w:t>
      </w:r>
      <w:r>
        <w:rPr>
          <w:rFonts w:hint="eastAsia"/>
          <w:spacing w:val="-1"/>
          <w:sz w:val="24"/>
          <w:szCs w:val="24"/>
          <w:lang w:eastAsia="zh-CN"/>
        </w:rPr>
        <w:t>的</w:t>
      </w:r>
      <w:r>
        <w:rPr>
          <w:spacing w:val="-1"/>
          <w:sz w:val="24"/>
          <w:szCs w:val="24"/>
          <w:lang w:eastAsia="zh-CN"/>
        </w:rPr>
        <w:t>夹江县康云建筑垃圾处理有限公司建筑垃圾处理</w:t>
      </w:r>
      <w:r>
        <w:rPr>
          <w:rFonts w:hint="eastAsia"/>
          <w:spacing w:val="-1"/>
          <w:sz w:val="24"/>
          <w:szCs w:val="24"/>
          <w:lang w:eastAsia="zh-CN"/>
        </w:rPr>
        <w:t>场</w:t>
      </w:r>
      <w:r>
        <w:rPr>
          <w:spacing w:val="-1"/>
          <w:sz w:val="24"/>
          <w:szCs w:val="24"/>
          <w:lang w:eastAsia="zh-CN"/>
        </w:rPr>
        <w:t>占地面积800m²。设计规模为平均日分拣处理建筑垃圾200t,设计分拣区堆场堆高约为3m,总堆积容积1500m³,年处理建筑垃圾7</w:t>
      </w:r>
      <w:r>
        <w:rPr>
          <w:rFonts w:hint="eastAsia"/>
          <w:spacing w:val="-1"/>
          <w:sz w:val="24"/>
          <w:szCs w:val="24"/>
          <w:lang w:eastAsia="zh-CN"/>
        </w:rPr>
        <w:t>.</w:t>
      </w:r>
      <w:r>
        <w:rPr>
          <w:spacing w:val="-1"/>
          <w:sz w:val="24"/>
          <w:szCs w:val="24"/>
          <w:lang w:eastAsia="zh-CN"/>
        </w:rPr>
        <w:t>2万t,采用人工分拣方式。</w:t>
      </w:r>
      <w:r>
        <w:rPr>
          <w:rFonts w:hint="eastAsia"/>
          <w:spacing w:val="-1"/>
          <w:sz w:val="24"/>
          <w:szCs w:val="24"/>
          <w:lang w:eastAsia="zh-CN"/>
        </w:rPr>
        <w:t>项目工艺流程图如下：</w:t>
      </w:r>
    </w:p>
    <w:p w14:paraId="097384CA">
      <w:pPr>
        <w:pStyle w:val="31"/>
        <w:spacing w:before="135" w:line="360" w:lineRule="auto"/>
        <w:ind w:left="11" w:right="91" w:firstLine="476" w:firstLineChars="200"/>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1742440</wp:posOffset>
                </wp:positionH>
                <wp:positionV relativeFrom="paragraph">
                  <wp:posOffset>340360</wp:posOffset>
                </wp:positionV>
                <wp:extent cx="1276350" cy="457200"/>
                <wp:effectExtent l="0" t="0" r="19050" b="19050"/>
                <wp:wrapNone/>
                <wp:docPr id="204034407"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AEE838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37.2pt;margin-top:26.8pt;height:36pt;width:100.5pt;z-index:251662336;v-text-anchor:middle;mso-width-relative:page;mso-height-relative:page;" filled="f" stroked="t" coordsize="21600,21600" o:gfxdata="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XERY7YAAAACgEAAA8AAAAAAAAAAQAg&#10;AAAAIgAAAGRycy9kb3ducmV2LnhtbFBLAQIUABQAAAAIAIdO4kBESWztgAIAAAAFAAAOAAAAAAAA&#10;AAEAIAAAACcBAABkcnMvZTJvRG9jLnhtbFBLBQYAAAAABgAGAFkBAAAZBgAAAAA=&#10;">
                <v:fill on="f" focussize="0,0"/>
                <v:stroke weight="1pt" color="#172C51 [3204]" miterlimit="8" joinstyle="miter"/>
                <v:imagedata o:title=""/>
                <o:lock v:ext="edit" aspectratio="f"/>
                <v:textbox>
                  <w:txbxContent>
                    <w:p w14:paraId="0AEE8387">
                      <w:pPr>
                        <w:jc w:val="center"/>
                      </w:pPr>
                    </w:p>
                  </w:txbxContent>
                </v:textbox>
              </v:rect>
            </w:pict>
          </mc:Fallback>
        </mc:AlternateContent>
      </w:r>
    </w:p>
    <w:p w14:paraId="71E6EF74">
      <w:pPr>
        <w:pStyle w:val="31"/>
        <w:tabs>
          <w:tab w:val="left" w:pos="3225"/>
        </w:tabs>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ab/>
      </w:r>
      <w:r>
        <w:rPr>
          <w:rFonts w:hint="eastAsia"/>
          <w:spacing w:val="-1"/>
          <w:sz w:val="24"/>
          <w:szCs w:val="24"/>
          <w:lang w:eastAsia="zh-CN"/>
        </w:rPr>
        <w:t>建筑垃圾</w:t>
      </w:r>
    </w:p>
    <w:p w14:paraId="364BD918">
      <w:pPr>
        <w:pStyle w:val="31"/>
        <w:spacing w:before="135" w:line="360" w:lineRule="auto"/>
        <w:ind w:right="91"/>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30480</wp:posOffset>
                </wp:positionV>
                <wp:extent cx="3810" cy="691515"/>
                <wp:effectExtent l="76200" t="0" r="72390" b="51435"/>
                <wp:wrapNone/>
                <wp:docPr id="657599878" name="直接箭头连接符 12"/>
                <wp:cNvGraphicFramePr/>
                <a:graphic xmlns:a="http://schemas.openxmlformats.org/drawingml/2006/main">
                  <a:graphicData uri="http://schemas.microsoft.com/office/word/2010/wordprocessingShape">
                    <wps:wsp>
                      <wps:cNvCnPr/>
                      <wps:spPr>
                        <a:xfrm flipH="1">
                          <a:off x="0" y="0"/>
                          <a:ext cx="3980" cy="69153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flip:x;margin-left:185.05pt;margin-top:2.4pt;height:54.45pt;width:0.3pt;z-index:251671552;mso-width-relative:page;mso-height-relative:page;" filled="f" stroked="t" coordsize="21600,21600" o:gfxdata="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7vbMvVAAAACQEAAA8AAAAA&#10;AAAAAQAgAAAAIgAAAGRycy9kb3ducmV2LnhtbFBLAQIUABQAAAAIAIdO4kCAVrjQFwIAAPcDAAAO&#10;AAAAAAAAAAEAIAAAACQBAABkcnMvZTJvRG9jLnhtbFBLBQYAAAAABgAGAFkBAACtBQAAAAA=&#10;">
                <v:fill on="f" focussize="0,0"/>
                <v:stroke weight="1.5pt" color="#000000 [3213]" miterlimit="8" joinstyle="miter" endarrow="block"/>
                <v:imagedata o:title=""/>
                <o:lock v:ext="edit" aspectratio="f"/>
              </v:shape>
            </w:pict>
          </mc:Fallback>
        </mc:AlternateContent>
      </w:r>
    </w:p>
    <w:p w14:paraId="7DA59A16">
      <w:pPr>
        <w:pStyle w:val="31"/>
        <w:spacing w:before="135" w:line="360" w:lineRule="auto"/>
        <w:ind w:right="91"/>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64384" behindDoc="0" locked="0" layoutInCell="1" allowOverlap="1">
                <wp:simplePos x="0" y="0"/>
                <wp:positionH relativeFrom="column">
                  <wp:posOffset>3704590</wp:posOffset>
                </wp:positionH>
                <wp:positionV relativeFrom="paragraph">
                  <wp:posOffset>336550</wp:posOffset>
                </wp:positionV>
                <wp:extent cx="1276350" cy="457200"/>
                <wp:effectExtent l="0" t="0" r="19050" b="19050"/>
                <wp:wrapNone/>
                <wp:docPr id="784203031"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91.7pt;margin-top:26.5pt;height:36pt;width:100.5pt;z-index:251664384;v-text-anchor:middle;mso-width-relative:page;mso-height-relative:page;" filled="f" stroked="t" coordsize="21600,21600" o:gfxdata="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vu3cB2AAAAAoBAAAPAAAAAAAAAAEAIAAAACIA&#10;AABkcnMvZG93bnJldi54bWxQSwECFAAUAAAACACHTuJAkk7FMnsCAAD3BAAADgAAAAAAAAABACAA&#10;AAAnAQAAZHJzL2Uyb0RvYy54bWxQSwUGAAAAAAYABgBZAQAAFAYAAAAA&#10;">
                <v:fill on="f" focussize="0,0"/>
                <v:stroke weight="1pt" color="#172C51 [3204]" miterlimit="8" joinstyle="miter" dashstyle="3 1"/>
                <v:imagedata o:title=""/>
                <o:lock v:ext="edit" aspectratio="f"/>
              </v:rect>
            </w:pict>
          </mc:Fallback>
        </mc:AlternateContent>
      </w:r>
      <w:r>
        <w:rPr>
          <w:spacing w:val="-1"/>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1742440</wp:posOffset>
                </wp:positionH>
                <wp:positionV relativeFrom="paragraph">
                  <wp:posOffset>339090</wp:posOffset>
                </wp:positionV>
                <wp:extent cx="1276350" cy="457200"/>
                <wp:effectExtent l="0" t="0" r="19050" b="19050"/>
                <wp:wrapNone/>
                <wp:docPr id="1711829921"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37.2pt;margin-top:26.7pt;height:36pt;width:100.5pt;z-index:251663360;v-text-anchor:middle;mso-width-relative:page;mso-height-relative:page;" filled="f" stroked="t" coordsize="21600,21600" o:gfxdata="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vqYCDYAAAACgEAAA8AAAAAAAAAAQAgAAAAIgAA&#10;AGRycy9kb3ducmV2LnhtbFBLAQIUABQAAAAIAIdO4kBroCczegIAAPYEAAAOAAAAAAAAAAEAIAAA&#10;ACcBAABkcnMvZTJvRG9jLnhtbFBLBQYAAAAABgAGAFkBAAATBgAAAAA=&#10;">
                <v:fill on="f" focussize="0,0"/>
                <v:stroke weight="1pt" color="#172C51 [3204]" miterlimit="8" joinstyle="miter"/>
                <v:imagedata o:title=""/>
                <o:lock v:ext="edit" aspectratio="f"/>
              </v:rect>
            </w:pict>
          </mc:Fallback>
        </mc:AlternateContent>
      </w:r>
    </w:p>
    <w:p w14:paraId="51AA495E">
      <w:pPr>
        <w:pStyle w:val="31"/>
        <w:spacing w:before="135" w:line="360" w:lineRule="auto"/>
        <w:ind w:right="91"/>
        <w:rPr>
          <w:rFonts w:hint="eastAsia"/>
          <w:spacing w:val="-1"/>
          <w:sz w:val="24"/>
          <w:szCs w:val="24"/>
          <w:lang w:eastAsia="zh-CN"/>
        </w:rPr>
      </w:pPr>
      <w:r>
        <w:rPr>
          <w:rFonts w:hint="eastAsia"/>
          <w:spacing w:val="-1"/>
          <w:sz w:val="24"/>
          <w:szCs w:val="24"/>
          <w:lang w:eastAsia="zh-CN"/>
        </w:rPr>
        <mc:AlternateContent>
          <mc:Choice Requires="wps">
            <w:drawing>
              <wp:anchor distT="0" distB="0" distL="114300" distR="114300" simplePos="0" relativeHeight="251677696" behindDoc="0" locked="0" layoutInCell="1" allowOverlap="1">
                <wp:simplePos x="0" y="0"/>
                <wp:positionH relativeFrom="column">
                  <wp:posOffset>3021330</wp:posOffset>
                </wp:positionH>
                <wp:positionV relativeFrom="paragraph">
                  <wp:posOffset>189230</wp:posOffset>
                </wp:positionV>
                <wp:extent cx="682625" cy="0"/>
                <wp:effectExtent l="0" t="76200" r="22860" b="95250"/>
                <wp:wrapNone/>
                <wp:docPr id="765693612" name="直接箭头连接符 20"/>
                <wp:cNvGraphicFramePr/>
                <a:graphic xmlns:a="http://schemas.openxmlformats.org/drawingml/2006/main">
                  <a:graphicData uri="http://schemas.microsoft.com/office/word/2010/wordprocessingShape">
                    <wps:wsp>
                      <wps:cNvCnPr/>
                      <wps:spPr>
                        <a:xfrm>
                          <a:off x="0" y="0"/>
                          <a:ext cx="68238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0" o:spid="_x0000_s1026" o:spt="32" type="#_x0000_t32" style="position:absolute;left:0pt;margin-left:237.9pt;margin-top:14.9pt;height:0pt;width:53.75pt;z-index:251677696;mso-width-relative:page;mso-height-relative:page;" filled="f" stroked="t" coordsize="21600,21600" o:gfxdata="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4UHR7XAAAACQEAAA8AAAAAAAAAAQAgAAAA&#10;IgAAAGRycy9kb3ducmV2LnhtbFBLAQIUABQAAAAIAIdO4kByFjsEDAIAAOoDAAAOAAAAAAAAAAEA&#10;IAAAACYBAABkcnMvZTJvRG9jLnhtbFBLBQYAAAAABgAGAFkBAACkBQAAAAA=&#10;">
                <v:fill on="f" focussize="0,0"/>
                <v:stroke weight="1.5pt" color="#000000 [3213]" miterlimit="8" joinstyle="miter" endarrow="block"/>
                <v:imagedata o:title=""/>
                <o:lock v:ext="edit" aspectratio="f"/>
              </v:shape>
            </w:pict>
          </mc:Fallback>
        </mc:AlternateContent>
      </w:r>
      <w:r>
        <w:rPr>
          <w:rFonts w:hint="eastAsia"/>
          <w:spacing w:val="-1"/>
          <w:sz w:val="24"/>
          <w:szCs w:val="24"/>
          <w:lang w:eastAsia="zh-CN"/>
        </w:rPr>
        <w:t xml:space="preserve">                             运输                    噪声、扬程</w:t>
      </w:r>
    </w:p>
    <w:p w14:paraId="437DA385">
      <w:pPr>
        <w:pStyle w:val="31"/>
        <w:spacing w:before="135" w:line="360" w:lineRule="auto"/>
        <w:ind w:right="91"/>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9744" behindDoc="0" locked="0" layoutInCell="1" allowOverlap="1">
                <wp:simplePos x="0" y="0"/>
                <wp:positionH relativeFrom="column">
                  <wp:posOffset>2350135</wp:posOffset>
                </wp:positionH>
                <wp:positionV relativeFrom="paragraph">
                  <wp:posOffset>29210</wp:posOffset>
                </wp:positionV>
                <wp:extent cx="3810" cy="641985"/>
                <wp:effectExtent l="76200" t="0" r="72390" b="63500"/>
                <wp:wrapNone/>
                <wp:docPr id="1096130067" name="直接箭头连接符 12"/>
                <wp:cNvGraphicFramePr/>
                <a:graphic xmlns:a="http://schemas.openxmlformats.org/drawingml/2006/main">
                  <a:graphicData uri="http://schemas.microsoft.com/office/word/2010/wordprocessingShape">
                    <wps:wsp>
                      <wps:cNvCnPr/>
                      <wps:spPr>
                        <a:xfrm flipH="1">
                          <a:off x="0" y="0"/>
                          <a:ext cx="3810" cy="64172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flip:x;margin-left:185.05pt;margin-top:2.3pt;height:50.55pt;width:0.3pt;z-index:251679744;mso-width-relative:page;mso-height-relative:page;" filled="f" stroked="t" coordsize="21600,21600" o:gfxdata="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si8bjVAAAACQEAAA8AAAAA&#10;AAAAAQAgAAAAIgAAAGRycy9kb3ducmV2LnhtbFBLAQIUABQAAAAIAIdO4kBXeYLSFwIAAPgDAAAO&#10;AAAAAAAAAAEAIAAAACQBAABkcnMvZTJvRG9jLnhtbFBLBQYAAAAABgAGAFkBAACtBQAAAAA=&#10;">
                <v:fill on="f" focussize="0,0"/>
                <v:stroke weight="1.5pt" color="#000000 [3213]" miterlimit="8" joinstyle="miter" endarrow="block"/>
                <v:imagedata o:title=""/>
                <o:lock v:ext="edit" aspectratio="f"/>
              </v:shape>
            </w:pict>
          </mc:Fallback>
        </mc:AlternateContent>
      </w:r>
    </w:p>
    <w:p w14:paraId="2DCD288B">
      <w:pPr>
        <w:pStyle w:val="31"/>
        <w:spacing w:before="135" w:line="360" w:lineRule="auto"/>
        <w:ind w:right="91"/>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3714115</wp:posOffset>
                </wp:positionH>
                <wp:positionV relativeFrom="paragraph">
                  <wp:posOffset>288290</wp:posOffset>
                </wp:positionV>
                <wp:extent cx="1276350" cy="457200"/>
                <wp:effectExtent l="0" t="0" r="19050" b="19050"/>
                <wp:wrapNone/>
                <wp:docPr id="299237637"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92.45pt;margin-top:22.7pt;height:36pt;width:100.5pt;z-index:251666432;v-text-anchor:middle;mso-width-relative:page;mso-height-relative:page;" filled="f" stroked="t" coordsize="21600,21600" o:gfxdata="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zG5c9cAAAAKAQAADwAAAAAAAAABACAAAAAiAAAA&#10;ZHJzL2Rvd25yZXYueG1sUEsBAhQAFAAAAAgAh07iQEwXncR6AgAA9wQAAA4AAAAAAAAAAQAgAAAA&#10;JgEAAGRycy9lMm9Eb2MueG1sUEsFBgAAAAAGAAYAWQEAABIGAAAAAA==&#10;">
                <v:fill on="f" focussize="0,0"/>
                <v:stroke weight="1pt" color="#172C51 [3204]" miterlimit="8" joinstyle="miter" dashstyle="3 1"/>
                <v:imagedata o:title=""/>
                <o:lock v:ext="edit" aspectratio="f"/>
              </v:rect>
            </w:pict>
          </mc:Fallback>
        </mc:AlternateContent>
      </w:r>
      <w:r>
        <w:rPr>
          <w:spacing w:val="-1"/>
          <w:sz w:val="24"/>
          <w:szCs w:val="24"/>
          <w:lang w:eastAsia="zh-CN"/>
        </w:rPr>
        <mc:AlternateContent>
          <mc:Choice Requires="wps">
            <w:drawing>
              <wp:anchor distT="0" distB="0" distL="114300" distR="114300" simplePos="0" relativeHeight="251665408" behindDoc="0" locked="0" layoutInCell="1" allowOverlap="1">
                <wp:simplePos x="0" y="0"/>
                <wp:positionH relativeFrom="column">
                  <wp:posOffset>1742440</wp:posOffset>
                </wp:positionH>
                <wp:positionV relativeFrom="paragraph">
                  <wp:posOffset>290830</wp:posOffset>
                </wp:positionV>
                <wp:extent cx="1276350" cy="457200"/>
                <wp:effectExtent l="0" t="0" r="19050" b="19050"/>
                <wp:wrapNone/>
                <wp:docPr id="415337490"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37.2pt;margin-top:22.9pt;height:36pt;width:100.5pt;z-index:251665408;v-text-anchor:middle;mso-width-relative:page;mso-height-relative:page;" filled="f" stroked="t" coordsize="21600,21600" o:gfxdata="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X+1RbZAAAACgEAAA8AAAAAAAAAAQAgAAAAIgAA&#10;AGRycy9kb3ducmV2LnhtbFBLAQIUABQAAAAIAIdO4kCPySeweQIAAPUEAAAOAAAAAAAAAAEAIAAA&#10;ACgBAABkcnMvZTJvRG9jLnhtbFBLBQYAAAAABgAGAFkBAAATBgAAAAA=&#10;">
                <v:fill on="f" focussize="0,0"/>
                <v:stroke weight="1pt" color="#172C51 [3204]" miterlimit="8" joinstyle="miter"/>
                <v:imagedata o:title=""/>
                <o:lock v:ext="edit" aspectratio="f"/>
              </v:rect>
            </w:pict>
          </mc:Fallback>
        </mc:AlternateContent>
      </w:r>
      <w:r>
        <w:rPr>
          <w:rFonts w:hint="eastAsia"/>
          <w:spacing w:val="-1"/>
          <w:sz w:val="24"/>
          <w:szCs w:val="24"/>
          <w:lang w:eastAsia="zh-CN"/>
        </w:rPr>
        <w:t xml:space="preserve">  </w:t>
      </w:r>
    </w:p>
    <w:p w14:paraId="162526ED">
      <w:pPr>
        <w:pStyle w:val="31"/>
        <w:spacing w:before="106" w:line="360" w:lineRule="auto"/>
        <w:ind w:left="365"/>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2576" behindDoc="0" locked="0" layoutInCell="1" allowOverlap="1">
                <wp:simplePos x="0" y="0"/>
                <wp:positionH relativeFrom="column">
                  <wp:posOffset>2350770</wp:posOffset>
                </wp:positionH>
                <wp:positionV relativeFrom="paragraph">
                  <wp:posOffset>367665</wp:posOffset>
                </wp:positionV>
                <wp:extent cx="1905" cy="274955"/>
                <wp:effectExtent l="76200" t="0" r="74930" b="48895"/>
                <wp:wrapNone/>
                <wp:docPr id="885061092" name="直接箭头连接符 12"/>
                <wp:cNvGraphicFramePr/>
                <a:graphic xmlns:a="http://schemas.openxmlformats.org/drawingml/2006/main">
                  <a:graphicData uri="http://schemas.microsoft.com/office/word/2010/wordprocessingShape">
                    <wps:wsp>
                      <wps:cNvCnPr/>
                      <wps:spPr>
                        <a:xfrm>
                          <a:off x="0" y="0"/>
                          <a:ext cx="1800" cy="27500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margin-left:185.1pt;margin-top:28.95pt;height:21.65pt;width:0.15pt;z-index:251672576;mso-width-relative:page;mso-height-relative:page;" filled="f" stroked="t" coordsize="21600,21600" o:gfxdata="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B0q17YAAAACgEAAA8AAAAAAAAAAQAg&#10;AAAAIgAAAGRycy9kb3ducmV2LnhtbFBLAQIUABQAAAAIAIdO4kDnJB5/DgIAAO0DAAAOAAAAAAAA&#10;AAEAIAAAACcBAABkcnMvZTJvRG9jLnhtbFBLBQYAAAAABgAGAFkBAACnBQAAAAA=&#10;">
                <v:fill on="f" focussize="0,0"/>
                <v:stroke weight="1.5pt" color="#000000 [3213]" miterlimit="8" joinstyle="miter" endarrow="block"/>
                <v:imagedata o:title=""/>
                <o:lock v:ext="edit" aspectratio="f"/>
              </v:shape>
            </w:pict>
          </mc:Fallback>
        </mc:AlternateContent>
      </w:r>
      <w:r>
        <w:rPr>
          <w:rFonts w:hint="eastAsia"/>
          <w:spacing w:val="-1"/>
          <w:sz w:val="24"/>
          <w:szCs w:val="24"/>
          <w:lang w:eastAsia="zh-CN"/>
        </w:rPr>
        <mc:AlternateContent>
          <mc:Choice Requires="wps">
            <w:drawing>
              <wp:anchor distT="0" distB="0" distL="114300" distR="114300" simplePos="0" relativeHeight="251678720" behindDoc="0" locked="0" layoutInCell="1" allowOverlap="1">
                <wp:simplePos x="0" y="0"/>
                <wp:positionH relativeFrom="column">
                  <wp:posOffset>3030220</wp:posOffset>
                </wp:positionH>
                <wp:positionV relativeFrom="paragraph">
                  <wp:posOffset>151130</wp:posOffset>
                </wp:positionV>
                <wp:extent cx="682625" cy="0"/>
                <wp:effectExtent l="0" t="76200" r="22860" b="95250"/>
                <wp:wrapNone/>
                <wp:docPr id="1012566835" name="直接箭头连接符 20"/>
                <wp:cNvGraphicFramePr/>
                <a:graphic xmlns:a="http://schemas.openxmlformats.org/drawingml/2006/main">
                  <a:graphicData uri="http://schemas.microsoft.com/office/word/2010/wordprocessingShape">
                    <wps:wsp>
                      <wps:cNvCnPr/>
                      <wps:spPr>
                        <a:xfrm>
                          <a:off x="0" y="0"/>
                          <a:ext cx="68238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0" o:spid="_x0000_s1026" o:spt="32" type="#_x0000_t32" style="position:absolute;left:0pt;margin-left:238.6pt;margin-top:11.9pt;height:0pt;width:53.75pt;z-index:251678720;mso-width-relative:page;mso-height-relative:page;" filled="f" stroked="t" coordsize="21600,21600" o:gfxdata="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KSmjXAAAACQEAAA8AAAAAAAAAAQAgAAAA&#10;IgAAAGRycy9kb3ducmV2LnhtbFBLAQIUABQAAAAIAIdO4kCecBiuDAIAAOsDAAAOAAAAAAAAAAEA&#10;IAAAACYBAABkcnMvZTJvRG9jLnhtbFBLBQYAAAAABgAGAFkBAACkBQAAAAA=&#10;">
                <v:fill on="f" focussize="0,0"/>
                <v:stroke weight="1.5pt" color="#000000 [3213]" miterlimit="8" joinstyle="miter" endarrow="block"/>
                <v:imagedata o:title=""/>
                <o:lock v:ext="edit" aspectratio="f"/>
              </v:shape>
            </w:pict>
          </mc:Fallback>
        </mc:AlternateContent>
      </w:r>
      <w:r>
        <w:rPr>
          <w:rFonts w:hint="eastAsia"/>
          <w:spacing w:val="-1"/>
          <w:sz w:val="24"/>
          <w:szCs w:val="24"/>
          <w:lang w:eastAsia="zh-CN"/>
        </w:rPr>
        <w:t xml:space="preserve">                       分类、分区                 噪声、扬程 </w:t>
      </w:r>
    </w:p>
    <w:p w14:paraId="7E5DF87B">
      <w:pPr>
        <w:pStyle w:val="31"/>
        <w:spacing w:before="106" w:line="360" w:lineRule="auto"/>
        <w:ind w:left="365"/>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2318385</wp:posOffset>
                </wp:positionH>
                <wp:positionV relativeFrom="paragraph">
                  <wp:posOffset>282575</wp:posOffset>
                </wp:positionV>
                <wp:extent cx="1263650" cy="361315"/>
                <wp:effectExtent l="0" t="0" r="70485" b="57785"/>
                <wp:wrapNone/>
                <wp:docPr id="1415030594" name="连接符: 肘形 16"/>
                <wp:cNvGraphicFramePr/>
                <a:graphic xmlns:a="http://schemas.openxmlformats.org/drawingml/2006/main">
                  <a:graphicData uri="http://schemas.microsoft.com/office/word/2010/wordprocessingShape">
                    <wps:wsp>
                      <wps:cNvCnPr/>
                      <wps:spPr>
                        <a:xfrm>
                          <a:off x="0" y="0"/>
                          <a:ext cx="1263508" cy="361372"/>
                        </a:xfrm>
                        <a:prstGeom prst="bentConnector3">
                          <a:avLst>
                            <a:gd name="adj1" fmla="val 10005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连接符: 肘形 16" o:spid="_x0000_s1026" o:spt="34" type="#_x0000_t34" style="position:absolute;left:0pt;margin-left:182.55pt;margin-top:22.25pt;height:28.45pt;width:99.5pt;z-index:251674624;mso-width-relative:page;mso-height-relative:page;" filled="f" stroked="t" coordsize="21600,21600" o:gfxdata="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mT/n2AAAAAoBAAAPAAAAAAAAAAEAIAAAACIAAABkcnMvZG93bnJldi54bWxQSwECFAAUAAAA&#10;CACHTuJApzpGZScCAAAXBAAADgAAAAAAAAABACAAAAAnAQAAZHJzL2Uyb0RvYy54bWxQSwUGAAAA&#10;AAYABgBZAQAAwAUAAAAA&#10;" adj="21611">
                <v:fill on="f" focussize="0,0"/>
                <v:stroke weight="1.5pt" color="#000000 [3213]" miterlimit="8" joinstyle="miter" endarrow="block"/>
                <v:imagedata o:title=""/>
                <o:lock v:ext="edit" aspectratio="f"/>
              </v:shape>
            </w:pict>
          </mc:Fallback>
        </mc:AlternateContent>
      </w:r>
      <w:r>
        <w:rPr>
          <w:spacing w:val="-1"/>
          <w:sz w:val="24"/>
          <w:szCs w:val="24"/>
          <w:lang w:eastAsia="zh-CN"/>
        </w:rPr>
        <mc:AlternateContent>
          <mc:Choice Requires="wps">
            <w:drawing>
              <wp:anchor distT="0" distB="0" distL="114300" distR="114300" simplePos="0" relativeHeight="251673600" behindDoc="0" locked="0" layoutInCell="1" allowOverlap="1">
                <wp:simplePos x="0" y="0"/>
                <wp:positionH relativeFrom="column">
                  <wp:posOffset>885190</wp:posOffset>
                </wp:positionH>
                <wp:positionV relativeFrom="paragraph">
                  <wp:posOffset>281305</wp:posOffset>
                </wp:positionV>
                <wp:extent cx="1432560" cy="363220"/>
                <wp:effectExtent l="76200" t="0" r="15875" b="56515"/>
                <wp:wrapNone/>
                <wp:docPr id="1488083224" name="连接符: 肘形 16"/>
                <wp:cNvGraphicFramePr/>
                <a:graphic xmlns:a="http://schemas.openxmlformats.org/drawingml/2006/main">
                  <a:graphicData uri="http://schemas.microsoft.com/office/word/2010/wordprocessingShape">
                    <wps:wsp>
                      <wps:cNvCnPr/>
                      <wps:spPr>
                        <a:xfrm flipH="1">
                          <a:off x="0" y="0"/>
                          <a:ext cx="1432446" cy="363087"/>
                        </a:xfrm>
                        <a:prstGeom prst="bentConnector3">
                          <a:avLst>
                            <a:gd name="adj1" fmla="val 10005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连接符: 肘形 16" o:spid="_x0000_s1026" o:spt="34" type="#_x0000_t34" style="position:absolute;left:0pt;flip:x;margin-left:69.7pt;margin-top:22.15pt;height:28.6pt;width:112.8pt;z-index:251673600;mso-width-relative:page;mso-height-relative:page;" filled="f" stroked="t" coordsize="21600,21600" o:gfxdata="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oW4enZAAAACgEAAA8AAAAAAAAAAQAgAAAAIgAAAGRycy9kb3ducmV2LnhtbFBL&#10;AQIUABQAAAAIAIdO4kDAR20kLgIAACEEAAAOAAAAAAAAAAEAIAAAACgBAABkcnMvZTJvRG9jLnht&#10;bFBLBQYAAAAABgAGAFkBAADIBQAAAAA=&#10;" adj="21611">
                <v:fill on="f" focussize="0,0"/>
                <v:stroke weight="1.5pt" color="#000000 [3213]" miterlimit="8" joinstyle="miter" endarrow="block"/>
                <v:imagedata o:title=""/>
                <o:lock v:ext="edit" aspectratio="f"/>
              </v:shape>
            </w:pict>
          </mc:Fallback>
        </mc:AlternateContent>
      </w:r>
    </w:p>
    <w:p w14:paraId="29593D3F">
      <w:pPr>
        <w:pStyle w:val="31"/>
        <w:spacing w:before="106" w:line="360" w:lineRule="auto"/>
        <w:ind w:left="365"/>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68480" behindDoc="0" locked="0" layoutInCell="1" allowOverlap="1">
                <wp:simplePos x="0" y="0"/>
                <wp:positionH relativeFrom="column">
                  <wp:posOffset>2961640</wp:posOffset>
                </wp:positionH>
                <wp:positionV relativeFrom="paragraph">
                  <wp:posOffset>283210</wp:posOffset>
                </wp:positionV>
                <wp:extent cx="1276350" cy="457200"/>
                <wp:effectExtent l="0" t="0" r="19050" b="19050"/>
                <wp:wrapNone/>
                <wp:docPr id="1826003234"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33.2pt;margin-top:22.3pt;height:36pt;width:100.5pt;z-index:251668480;v-text-anchor:middle;mso-width-relative:page;mso-height-relative:page;" filled="f" stroked="t" coordsize="21600,21600" o:gfxdata="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Arzf7YAAAACgEAAA8AAAAAAAAAAQAgAAAAIgAA&#10;AGRycy9kb3ducmV2LnhtbFBLAQIUABQAAAAIAIdO4kACnDBBegIAAPYEAAAOAAAAAAAAAAEAIAAA&#10;ACcBAABkcnMvZTJvRG9jLnhtbFBLBQYAAAAABgAGAFkBAAATBgAAAAA=&#10;">
                <v:fill on="f" focussize="0,0"/>
                <v:stroke weight="1pt" color="#172C51 [3204]" miterlimit="8" joinstyle="miter"/>
                <v:imagedata o:title=""/>
                <o:lock v:ext="edit" aspectratio="f"/>
              </v:rect>
            </w:pict>
          </mc:Fallback>
        </mc:AlternateContent>
      </w:r>
      <w:r>
        <w:rPr>
          <w:spacing w:val="-1"/>
          <w:sz w:val="24"/>
          <w:szCs w:val="24"/>
          <w:lang w:eastAsia="zh-CN"/>
        </w:rPr>
        <mc:AlternateContent>
          <mc:Choice Requires="wps">
            <w:drawing>
              <wp:anchor distT="0" distB="0" distL="114300" distR="114300" simplePos="0" relativeHeight="251667456" behindDoc="0" locked="0" layoutInCell="1" allowOverlap="1">
                <wp:simplePos x="0" y="0"/>
                <wp:positionH relativeFrom="column">
                  <wp:posOffset>294640</wp:posOffset>
                </wp:positionH>
                <wp:positionV relativeFrom="paragraph">
                  <wp:posOffset>283210</wp:posOffset>
                </wp:positionV>
                <wp:extent cx="1276350" cy="457200"/>
                <wp:effectExtent l="0" t="0" r="19050" b="19050"/>
                <wp:wrapNone/>
                <wp:docPr id="1120998483"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3.2pt;margin-top:22.3pt;height:36pt;width:100.5pt;z-index:251667456;v-text-anchor:middle;mso-width-relative:page;mso-height-relative:page;" filled="f" stroked="t" coordsize="21600,21600" o:gfxdata="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Xfo3fYAAAACQEAAA8AAAAAAAAAAQAgAAAAIgAA&#10;AGRycy9kb3ducmV2LnhtbFBLAQIUABQAAAAIAIdO4kDohV7MegIAAPYEAAAOAAAAAAAAAAEAIAAA&#10;ACcBAABkcnMvZTJvRG9jLnhtbFBLBQYAAAAABgAGAFkBAAATBgAAAAA=&#10;">
                <v:fill on="f" focussize="0,0"/>
                <v:stroke weight="1pt" color="#172C51 [3204]" miterlimit="8" joinstyle="miter"/>
                <v:imagedata o:title=""/>
                <o:lock v:ext="edit" aspectratio="f"/>
              </v:rect>
            </w:pict>
          </mc:Fallback>
        </mc:AlternateContent>
      </w:r>
    </w:p>
    <w:p w14:paraId="1A99E05F">
      <w:pPr>
        <w:pStyle w:val="31"/>
        <w:spacing w:before="106" w:line="360" w:lineRule="auto"/>
        <w:ind w:left="365"/>
        <w:rPr>
          <w:rFonts w:hint="eastAsia"/>
          <w:spacing w:val="-1"/>
          <w:sz w:val="24"/>
          <w:szCs w:val="24"/>
          <w:lang w:eastAsia="zh-CN"/>
        </w:rPr>
      </w:pPr>
      <w:r>
        <w:rPr>
          <w:rFonts w:hint="eastAsia"/>
          <w:spacing w:val="-1"/>
          <w:sz w:val="24"/>
          <w:szCs w:val="24"/>
          <w:lang w:eastAsia="zh-CN"/>
        </w:rPr>
        <w:t xml:space="preserve">     建筑垃圾                           装修垃圾</w:t>
      </w:r>
    </w:p>
    <w:p w14:paraId="10980F3B">
      <w:pPr>
        <w:pStyle w:val="31"/>
        <w:spacing w:before="106" w:line="360" w:lineRule="auto"/>
        <w:ind w:left="365"/>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3629660</wp:posOffset>
                </wp:positionH>
                <wp:positionV relativeFrom="paragraph">
                  <wp:posOffset>10160</wp:posOffset>
                </wp:positionV>
                <wp:extent cx="0" cy="644525"/>
                <wp:effectExtent l="76200" t="0" r="76200" b="60960"/>
                <wp:wrapNone/>
                <wp:docPr id="1130121394" name="直接箭头连接符 12"/>
                <wp:cNvGraphicFramePr/>
                <a:graphic xmlns:a="http://schemas.openxmlformats.org/drawingml/2006/main">
                  <a:graphicData uri="http://schemas.microsoft.com/office/word/2010/wordprocessingShape">
                    <wps:wsp>
                      <wps:cNvCnPr/>
                      <wps:spPr>
                        <a:xfrm>
                          <a:off x="0" y="0"/>
                          <a:ext cx="0" cy="64450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margin-left:285.8pt;margin-top:0.8pt;height:50.75pt;width:0pt;z-index:251676672;mso-width-relative:page;mso-height-relative:page;" filled="f" stroked="t" coordsize="21600,21600" o:gfxdata="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H+6o1AAAAAkBAAAPAAAAAAAAAAEAIAAAACIA&#10;AABkcnMvZG93bnJldi54bWxQSwECFAAUAAAACACHTuJAdVe/Vg0CAADrAwAADgAAAAAAAAABACAA&#10;AAAjAQAAZHJzL2Uyb0RvYy54bWxQSwUGAAAAAAYABgBZAQAAogUAAAAA&#10;">
                <v:fill on="f" focussize="0,0"/>
                <v:stroke weight="1.5pt" color="#000000 [3213]" miterlimit="8" joinstyle="miter" endarrow="block"/>
                <v:imagedata o:title=""/>
                <o:lock v:ext="edit" aspectratio="f"/>
              </v:shape>
            </w:pict>
          </mc:Fallback>
        </mc:AlternateContent>
      </w:r>
      <w:r>
        <w:rPr>
          <w:spacing w:val="-1"/>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873125</wp:posOffset>
                </wp:positionH>
                <wp:positionV relativeFrom="paragraph">
                  <wp:posOffset>10160</wp:posOffset>
                </wp:positionV>
                <wp:extent cx="0" cy="644525"/>
                <wp:effectExtent l="76200" t="0" r="76200" b="60960"/>
                <wp:wrapNone/>
                <wp:docPr id="1803201854" name="直接箭头连接符 12"/>
                <wp:cNvGraphicFramePr/>
                <a:graphic xmlns:a="http://schemas.openxmlformats.org/drawingml/2006/main">
                  <a:graphicData uri="http://schemas.microsoft.com/office/word/2010/wordprocessingShape">
                    <wps:wsp>
                      <wps:cNvCnPr/>
                      <wps:spPr>
                        <a:xfrm>
                          <a:off x="0" y="0"/>
                          <a:ext cx="0" cy="64450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margin-left:68.75pt;margin-top:0.8pt;height:50.75pt;width:0pt;z-index:251675648;mso-width-relative:page;mso-height-relative:page;" filled="f" stroked="t" coordsize="21600,21600" o:gfxdata="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RFhqtQAAAAJAQAADwAAAAAAAAABACAAAAAiAAAA&#10;ZHJzL2Rvd25yZXYueG1sUEsBAhQAFAAAAAgAh07iQEJnC/QLAgAA6wMAAA4AAAAAAAAAAQAgAAAA&#10;IwEAAGRycy9lMm9Eb2MueG1sUEsFBgAAAAAGAAYAWQEAAKAFAAAAAA==&#10;">
                <v:fill on="f" focussize="0,0"/>
                <v:stroke weight="1.5pt" color="#000000 [3213]" miterlimit="8" joinstyle="miter" endarrow="block"/>
                <v:imagedata o:title=""/>
                <o:lock v:ext="edit" aspectratio="f"/>
              </v:shape>
            </w:pict>
          </mc:Fallback>
        </mc:AlternateContent>
      </w:r>
    </w:p>
    <w:p w14:paraId="22FAE288">
      <w:pPr>
        <w:pStyle w:val="31"/>
        <w:spacing w:before="106" w:line="360" w:lineRule="auto"/>
        <w:ind w:left="365"/>
        <w:rPr>
          <w:rFonts w:hint="eastAsia"/>
          <w:spacing w:val="-1"/>
          <w:sz w:val="24"/>
          <w:szCs w:val="24"/>
          <w:lang w:eastAsia="zh-CN"/>
        </w:rPr>
      </w:pPr>
      <w:r>
        <w:rPr>
          <w:spacing w:val="-1"/>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3018790</wp:posOffset>
                </wp:positionH>
                <wp:positionV relativeFrom="paragraph">
                  <wp:posOffset>296545</wp:posOffset>
                </wp:positionV>
                <wp:extent cx="1276350" cy="457200"/>
                <wp:effectExtent l="0" t="0" r="19050" b="19050"/>
                <wp:wrapNone/>
                <wp:docPr id="2039816312"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37.7pt;margin-top:23.35pt;height:36pt;width:100.5pt;z-index:251670528;v-text-anchor:middle;mso-width-relative:page;mso-height-relative:page;" filled="f" stroked="t" coordsize="21600,21600" o:gfxdata="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ul4sdcAAAAKAQAADwAAAAAAAAABACAAAAAi&#10;AAAAZHJzL2Rvd25yZXYueG1sUEsBAhQAFAAAAAgAh07iQE5TT3d9AgAA+AQAAA4AAAAAAAAAAQAg&#10;AAAAJgEAAGRycy9lMm9Eb2MueG1sUEsFBgAAAAAGAAYAWQEAABUGAAAAAA==&#10;">
                <v:fill on="f" focussize="0,0"/>
                <v:stroke weight="1pt" color="#172C51 [3204]" miterlimit="8" joinstyle="miter" dashstyle="3 1"/>
                <v:imagedata o:title=""/>
                <o:lock v:ext="edit" aspectratio="f"/>
              </v:rect>
            </w:pict>
          </mc:Fallback>
        </mc:AlternateContent>
      </w:r>
      <w:r>
        <w:rPr>
          <w:spacing w:val="-1"/>
          <w:sz w:val="24"/>
          <w:szCs w:val="24"/>
          <w:lang w:eastAsia="zh-CN"/>
        </w:rPr>
        <mc:AlternateContent>
          <mc:Choice Requires="wps">
            <w:drawing>
              <wp:anchor distT="0" distB="0" distL="114300" distR="114300" simplePos="0" relativeHeight="251669504" behindDoc="0" locked="0" layoutInCell="1" allowOverlap="1">
                <wp:simplePos x="0" y="0"/>
                <wp:positionH relativeFrom="column">
                  <wp:posOffset>294640</wp:posOffset>
                </wp:positionH>
                <wp:positionV relativeFrom="paragraph">
                  <wp:posOffset>296545</wp:posOffset>
                </wp:positionV>
                <wp:extent cx="1276350" cy="457200"/>
                <wp:effectExtent l="0" t="0" r="19050" b="19050"/>
                <wp:wrapNone/>
                <wp:docPr id="873930356" name="矩形 10"/>
                <wp:cNvGraphicFramePr/>
                <a:graphic xmlns:a="http://schemas.openxmlformats.org/drawingml/2006/main">
                  <a:graphicData uri="http://schemas.microsoft.com/office/word/2010/wordprocessingShape">
                    <wps:wsp>
                      <wps:cNvSpPr/>
                      <wps:spPr>
                        <a:xfrm>
                          <a:off x="0" y="0"/>
                          <a:ext cx="1276350" cy="457200"/>
                        </a:xfrm>
                        <a:prstGeom prst="rect">
                          <a:avLst/>
                        </a:prstGeom>
                        <a:noFill/>
                        <a:ln w="1270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23.2pt;margin-top:23.35pt;height:36pt;width:100.5pt;z-index:251669504;v-text-anchor:middle;mso-width-relative:page;mso-height-relative:page;" filled="f" stroked="t" coordsize="21600,21600" o:gfxdata="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HDZ4XXAAAACQEAAA8AAAAAAAAAAQAgAAAAIgAA&#10;AGRycy9kb3ducmV2LnhtbFBLAQIUABQAAAAIAIdO4kC89GVuewIAAPcEAAAOAAAAAAAAAAEAIAAA&#10;ACYBAABkcnMvZTJvRG9jLnhtbFBLBQYAAAAABgAGAFkBAAATBgAAAAA=&#10;">
                <v:fill on="f" focussize="0,0"/>
                <v:stroke weight="1pt" color="#172C51 [3204]" miterlimit="8" joinstyle="miter" dashstyle="3 1"/>
                <v:imagedata o:title=""/>
                <o:lock v:ext="edit" aspectratio="f"/>
              </v:rect>
            </w:pict>
          </mc:Fallback>
        </mc:AlternateContent>
      </w:r>
    </w:p>
    <w:p w14:paraId="4CDA8C3D">
      <w:pPr>
        <w:pStyle w:val="31"/>
        <w:spacing w:before="106" w:line="360" w:lineRule="auto"/>
        <w:ind w:left="365"/>
        <w:rPr>
          <w:rFonts w:hint="eastAsia"/>
          <w:spacing w:val="-1"/>
          <w:sz w:val="24"/>
          <w:szCs w:val="24"/>
          <w:lang w:eastAsia="zh-CN"/>
        </w:rPr>
      </w:pPr>
      <w:r>
        <w:rPr>
          <w:rFonts w:hint="eastAsia"/>
          <w:spacing w:val="-1"/>
          <w:sz w:val="24"/>
          <w:szCs w:val="24"/>
          <w:lang w:eastAsia="zh-CN"/>
        </w:rPr>
        <w:t xml:space="preserve">  建筑垃圾填埋场                        焚烧厂焚烧</w:t>
      </w:r>
    </w:p>
    <w:p w14:paraId="4796F417">
      <w:pPr>
        <w:rPr>
          <w:lang w:eastAsia="zh-CN"/>
        </w:rPr>
      </w:pPr>
      <w:bookmarkStart w:id="88" w:name="bookmark97"/>
      <w:bookmarkEnd w:id="88"/>
      <w:bookmarkStart w:id="89" w:name="bookmark96"/>
      <w:bookmarkEnd w:id="89"/>
      <w:bookmarkStart w:id="90" w:name="bookmark90"/>
      <w:bookmarkEnd w:id="90"/>
      <w:bookmarkStart w:id="91" w:name="bookmark99"/>
      <w:bookmarkEnd w:id="91"/>
      <w:bookmarkStart w:id="92" w:name="bookmark91"/>
      <w:bookmarkEnd w:id="92"/>
    </w:p>
    <w:p w14:paraId="6694B9C0">
      <w:pPr>
        <w:pStyle w:val="31"/>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综上，建筑垃圾处理量=垃圾建筑垃圾资源化利用量+建筑垃圾填埋量=2万t+7.2万t=9.2万t，基本满足目前夹江县建筑垃圾处置的需求。</w:t>
      </w:r>
    </w:p>
    <w:p w14:paraId="55A01F9E">
      <w:pPr>
        <w:pStyle w:val="8"/>
        <w:spacing w:before="182" w:line="360" w:lineRule="auto"/>
        <w:ind w:left="28" w:right="79"/>
        <w:outlineLvl w:val="1"/>
        <w:rPr>
          <w:rFonts w:hint="eastAsia"/>
          <w:color w:val="auto"/>
          <w:lang w:eastAsia="zh-CN"/>
        </w:rPr>
      </w:pPr>
      <w:bookmarkStart w:id="93" w:name="_Toc186468118"/>
      <w:r>
        <w:rPr>
          <w:rFonts w:hint="eastAsia"/>
          <w:b/>
          <w:bCs/>
          <w:color w:val="auto"/>
          <w:spacing w:val="-3"/>
          <w:lang w:eastAsia="zh-CN"/>
        </w:rPr>
        <w:t>第三节</w:t>
      </w:r>
      <w:r>
        <w:rPr>
          <w:color w:val="auto"/>
          <w:spacing w:val="-3"/>
          <w:lang w:eastAsia="zh-CN"/>
        </w:rPr>
        <w:t xml:space="preserve"> </w:t>
      </w:r>
      <w:r>
        <w:rPr>
          <w:rFonts w:hint="eastAsia"/>
          <w:b/>
          <w:bCs/>
          <w:color w:val="auto"/>
          <w:spacing w:val="-3"/>
          <w:lang w:eastAsia="zh-CN"/>
        </w:rPr>
        <w:t>综合处置模式</w:t>
      </w:r>
      <w:bookmarkEnd w:id="93"/>
      <w:bookmarkStart w:id="94" w:name="bookmark98"/>
      <w:bookmarkEnd w:id="94"/>
    </w:p>
    <w:p w14:paraId="7AE9CCDB">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w:t>
      </w:r>
      <w:r>
        <w:rPr>
          <w:rFonts w:ascii="宋体" w:hAnsi="宋体" w:eastAsia="宋体"/>
          <w:b/>
          <w:bCs/>
          <w:spacing w:val="-5"/>
          <w:sz w:val="24"/>
          <w:szCs w:val="24"/>
          <w:lang w:eastAsia="zh-CN"/>
        </w:rPr>
        <w:t>工程渣土</w:t>
      </w:r>
      <w:r>
        <w:rPr>
          <w:rFonts w:hint="eastAsia" w:ascii="宋体" w:hAnsi="宋体" w:eastAsia="宋体"/>
          <w:b/>
          <w:bCs/>
          <w:spacing w:val="-5"/>
          <w:sz w:val="24"/>
          <w:szCs w:val="24"/>
          <w:lang w:eastAsia="zh-CN"/>
        </w:rPr>
        <w:t>与</w:t>
      </w:r>
      <w:r>
        <w:rPr>
          <w:rFonts w:ascii="宋体" w:hAnsi="宋体" w:eastAsia="宋体"/>
          <w:b/>
          <w:bCs/>
          <w:spacing w:val="-5"/>
          <w:sz w:val="24"/>
          <w:szCs w:val="24"/>
          <w:lang w:eastAsia="zh-CN"/>
        </w:rPr>
        <w:t>工程泥浆</w:t>
      </w:r>
      <w:r>
        <w:rPr>
          <w:rFonts w:hint="eastAsia" w:ascii="宋体" w:hAnsi="宋体" w:eastAsia="宋体"/>
          <w:b/>
          <w:bCs/>
          <w:spacing w:val="-5"/>
          <w:sz w:val="24"/>
          <w:szCs w:val="24"/>
          <w:lang w:eastAsia="zh-CN"/>
        </w:rPr>
        <w:t>的处置</w:t>
      </w:r>
    </w:p>
    <w:p w14:paraId="7664F34D">
      <w:pPr>
        <w:pStyle w:val="31"/>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主要采取就地填埋的方式进行处理。对于需外运的弃土，应优先进行项目间的土石方调配回填，以最大化资源利用。其次，将剩余渣土配送至主城区周边的页岩砖厂，作为其生产原料。若仍有剩余，则就近送入土石方消纳场进行规范处理。</w:t>
      </w:r>
    </w:p>
    <w:p w14:paraId="19D6DA05">
      <w:pPr>
        <w:pStyle w:val="31"/>
        <w:spacing w:before="135" w:line="360" w:lineRule="auto"/>
        <w:ind w:left="11" w:right="91" w:firstLine="476" w:firstLineChars="200"/>
        <w:rPr>
          <w:rFonts w:hint="eastAsia"/>
          <w:spacing w:val="-1"/>
          <w:sz w:val="24"/>
          <w:szCs w:val="24"/>
          <w:lang w:eastAsia="zh-CN"/>
        </w:rPr>
      </w:pPr>
      <w:r>
        <w:rPr>
          <w:spacing w:val="-1"/>
          <w:sz w:val="24"/>
          <w:szCs w:val="24"/>
          <w:lang w:eastAsia="zh-CN"/>
        </w:rPr>
        <w:t>工程泥浆</w:t>
      </w:r>
      <w:r>
        <w:rPr>
          <w:rFonts w:hint="eastAsia"/>
          <w:spacing w:val="-1"/>
          <w:sz w:val="24"/>
          <w:szCs w:val="24"/>
          <w:lang w:eastAsia="zh-CN"/>
        </w:rPr>
        <w:t>经过脱水干化处理后，可作为绿化用土进行再利用，或送入土石方消纳场进行妥善处置</w:t>
      </w:r>
      <w:r>
        <w:rPr>
          <w:spacing w:val="-1"/>
          <w:sz w:val="24"/>
          <w:szCs w:val="24"/>
          <w:lang w:eastAsia="zh-CN"/>
        </w:rPr>
        <w:t>。</w:t>
      </w:r>
    </w:p>
    <w:p w14:paraId="6276ADD5">
      <w:pPr>
        <w:spacing w:line="360" w:lineRule="auto"/>
        <w:ind w:firstLine="480"/>
        <w:rPr>
          <w:rFonts w:hint="eastAsia" w:ascii="宋体" w:hAnsi="宋体" w:eastAsia="宋体"/>
          <w:b/>
          <w:bCs/>
          <w:spacing w:val="-5"/>
          <w:sz w:val="24"/>
          <w:szCs w:val="24"/>
          <w:lang w:eastAsia="zh-CN"/>
        </w:rPr>
      </w:pPr>
      <w:r>
        <w:rPr>
          <w:rFonts w:ascii="宋体" w:hAnsi="宋体" w:eastAsia="宋体"/>
          <w:b/>
          <w:bCs/>
          <w:spacing w:val="-5"/>
          <w:sz w:val="24"/>
          <w:szCs w:val="24"/>
          <w:lang w:eastAsia="zh-CN"/>
        </w:rPr>
        <w:t>（二）拆除垃圾</w:t>
      </w:r>
      <w:r>
        <w:rPr>
          <w:rFonts w:hint="eastAsia" w:ascii="宋体" w:hAnsi="宋体" w:eastAsia="宋体"/>
          <w:b/>
          <w:bCs/>
          <w:spacing w:val="-5"/>
          <w:sz w:val="24"/>
          <w:szCs w:val="24"/>
          <w:lang w:eastAsia="zh-CN"/>
        </w:rPr>
        <w:t>的处置</w:t>
      </w:r>
    </w:p>
    <w:p w14:paraId="7DF7B12C">
      <w:pPr>
        <w:pStyle w:val="31"/>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拆除过程中产生的混凝土、沥青混凝土、砖块等材料，应统一收集并运送至建筑垃圾综合利用厂进行处置，以生产再生产品。同时，钢材、木材等可回收材料应送至再生资源回收站进行回收利用。对于其余可燃烧的建筑垃圾，应运输至主城区生活垃圾焚烧厂进行发电处理。为减少运输成本和环境影响，鼓励在拆除工程中，在满足环保要求的前提下，就地加工生产再生产品。</w:t>
      </w:r>
    </w:p>
    <w:p w14:paraId="2254DB4C">
      <w:pPr>
        <w:spacing w:line="360" w:lineRule="auto"/>
        <w:ind w:firstLine="448"/>
        <w:rPr>
          <w:rFonts w:hint="eastAsia" w:ascii="宋体" w:hAnsi="宋体" w:eastAsia="宋体"/>
          <w:b/>
          <w:bCs/>
          <w:spacing w:val="-5"/>
          <w:sz w:val="24"/>
          <w:szCs w:val="24"/>
          <w:lang w:eastAsia="zh-CN"/>
        </w:rPr>
      </w:pPr>
      <w:r>
        <w:rPr>
          <w:rFonts w:ascii="宋体" w:hAnsi="宋体" w:eastAsia="宋体"/>
          <w:b/>
          <w:bCs/>
          <w:spacing w:val="-5"/>
          <w:sz w:val="24"/>
          <w:szCs w:val="24"/>
          <w:lang w:eastAsia="zh-CN"/>
        </w:rPr>
        <w:t>（三）工程垃圾</w:t>
      </w:r>
      <w:r>
        <w:rPr>
          <w:rFonts w:hint="eastAsia" w:ascii="宋体" w:hAnsi="宋体" w:eastAsia="宋体"/>
          <w:b/>
          <w:bCs/>
          <w:spacing w:val="-5"/>
          <w:sz w:val="24"/>
          <w:szCs w:val="24"/>
          <w:lang w:eastAsia="zh-CN"/>
        </w:rPr>
        <w:t>的处置</w:t>
      </w:r>
    </w:p>
    <w:p w14:paraId="2C6DC542">
      <w:pPr>
        <w:pStyle w:val="31"/>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建设工程中产生的垃圾，在收集后应进行分类处理。对于附加值低且不会造成环境污染的建筑工程固体垃圾，可优先用于工地道路等建设项目的再利用。其余垃圾则应收集并运送至建筑垃圾综合处置厂进行综合利用</w:t>
      </w:r>
      <w:r>
        <w:rPr>
          <w:spacing w:val="-1"/>
          <w:sz w:val="24"/>
          <w:szCs w:val="24"/>
          <w:lang w:eastAsia="zh-CN"/>
        </w:rPr>
        <w:t>。</w:t>
      </w:r>
    </w:p>
    <w:p w14:paraId="0A3535DE">
      <w:pPr>
        <w:spacing w:line="360" w:lineRule="auto"/>
        <w:ind w:firstLine="472"/>
        <w:rPr>
          <w:rFonts w:hint="eastAsia" w:ascii="宋体" w:hAnsi="宋体" w:eastAsia="宋体"/>
          <w:b/>
          <w:bCs/>
          <w:spacing w:val="-5"/>
          <w:sz w:val="24"/>
          <w:szCs w:val="24"/>
          <w:lang w:eastAsia="zh-CN"/>
        </w:rPr>
      </w:pPr>
      <w:r>
        <w:rPr>
          <w:rFonts w:ascii="宋体" w:hAnsi="宋体" w:eastAsia="宋体"/>
          <w:b/>
          <w:bCs/>
          <w:spacing w:val="-5"/>
          <w:sz w:val="24"/>
          <w:szCs w:val="24"/>
          <w:lang w:eastAsia="zh-CN"/>
        </w:rPr>
        <w:t>（四）装修垃圾</w:t>
      </w:r>
      <w:r>
        <w:rPr>
          <w:rFonts w:hint="eastAsia" w:ascii="宋体" w:hAnsi="宋体" w:eastAsia="宋体"/>
          <w:b/>
          <w:bCs/>
          <w:spacing w:val="-5"/>
          <w:sz w:val="24"/>
          <w:szCs w:val="24"/>
          <w:lang w:eastAsia="zh-CN"/>
        </w:rPr>
        <w:t>的处置</w:t>
      </w:r>
      <w:r>
        <w:rPr>
          <w:rFonts w:ascii="宋体" w:hAnsi="宋体" w:eastAsia="宋体"/>
          <w:b/>
          <w:bCs/>
          <w:spacing w:val="-5"/>
          <w:sz w:val="24"/>
          <w:szCs w:val="24"/>
          <w:lang w:eastAsia="zh-CN"/>
        </w:rPr>
        <w:t>。</w:t>
      </w:r>
    </w:p>
    <w:p w14:paraId="366044AA">
      <w:pPr>
        <w:pStyle w:val="31"/>
        <w:spacing w:before="135" w:line="360" w:lineRule="auto"/>
        <w:ind w:left="11" w:right="91" w:firstLine="476" w:firstLineChars="200"/>
        <w:rPr>
          <w:rFonts w:hint="eastAsia"/>
          <w:spacing w:val="-1"/>
          <w:sz w:val="24"/>
          <w:szCs w:val="24"/>
          <w:lang w:eastAsia="zh-CN"/>
        </w:rPr>
      </w:pPr>
      <w:r>
        <w:rPr>
          <w:rFonts w:hint="eastAsia"/>
          <w:spacing w:val="-1"/>
          <w:sz w:val="24"/>
          <w:szCs w:val="24"/>
          <w:lang w:eastAsia="zh-CN"/>
        </w:rPr>
        <w:t>装修过程中产生的垃圾，在初选分类后，应运送至建筑垃圾综合利用厂进行综合利用。其中，固体废物可经过加工成为建设填充骨料或再生产品。对于可燃烧的建筑垃圾，应运输至乐山光大焚烧发电厂焚烧场进行焚烧发电处理</w:t>
      </w:r>
      <w:r>
        <w:rPr>
          <w:spacing w:val="-1"/>
          <w:sz w:val="24"/>
          <w:szCs w:val="24"/>
          <w:lang w:eastAsia="zh-CN"/>
        </w:rPr>
        <w:t>。</w:t>
      </w:r>
    </w:p>
    <w:p w14:paraId="0CFAECC4">
      <w:pPr>
        <w:pStyle w:val="8"/>
        <w:spacing w:before="182" w:line="360" w:lineRule="auto"/>
        <w:ind w:left="28" w:right="79" w:firstLine="414"/>
        <w:rPr>
          <w:rFonts w:hint="eastAsia"/>
          <w:sz w:val="24"/>
          <w:szCs w:val="24"/>
          <w:lang w:eastAsia="zh-CN"/>
        </w:rPr>
      </w:pPr>
    </w:p>
    <w:p w14:paraId="3AF4BBFB">
      <w:pPr>
        <w:pStyle w:val="8"/>
        <w:spacing w:before="182" w:line="360" w:lineRule="auto"/>
        <w:ind w:left="28" w:right="79" w:firstLine="476"/>
        <w:rPr>
          <w:rFonts w:hint="eastAsia"/>
          <w:sz w:val="24"/>
          <w:szCs w:val="24"/>
          <w:lang w:eastAsia="zh-CN"/>
        </w:rPr>
        <w:sectPr>
          <w:headerReference r:id="rId9" w:type="default"/>
          <w:footerReference r:id="rId10" w:type="default"/>
          <w:pgSz w:w="11906" w:h="16839"/>
          <w:pgMar w:top="1225" w:right="1332" w:bottom="1225" w:left="1786" w:header="850" w:footer="850" w:gutter="0"/>
          <w:pgNumType w:fmt="numberInDash"/>
          <w:cols w:space="720" w:num="1"/>
          <w:docGrid w:linePitch="286" w:charSpace="0"/>
        </w:sectPr>
      </w:pPr>
      <w:bookmarkStart w:id="95" w:name="bookmark100"/>
      <w:bookmarkEnd w:id="95"/>
      <w:bookmarkStart w:id="96" w:name="bookmark101"/>
      <w:bookmarkEnd w:id="96"/>
    </w:p>
    <w:p w14:paraId="51AC4ACF">
      <w:pPr>
        <w:pStyle w:val="8"/>
        <w:spacing w:before="182" w:line="360" w:lineRule="auto"/>
        <w:ind w:right="79"/>
        <w:rPr>
          <w:rFonts w:hint="eastAsia"/>
          <w:sz w:val="24"/>
          <w:szCs w:val="24"/>
          <w:lang w:eastAsia="zh-CN"/>
        </w:rPr>
      </w:pPr>
    </w:p>
    <w:p w14:paraId="3F2D8766">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97" w:name="bookmark103"/>
      <w:bookmarkEnd w:id="97"/>
      <w:bookmarkStart w:id="98" w:name="bookmark102"/>
      <w:bookmarkEnd w:id="98"/>
      <w:bookmarkStart w:id="99" w:name="_Toc186468119"/>
      <w:r>
        <w:rPr>
          <w:rFonts w:hint="eastAsia"/>
          <w:b/>
          <w:bCs/>
          <w:spacing w:val="-5"/>
          <w:sz w:val="31"/>
          <w:szCs w:val="31"/>
          <w:lang w:eastAsia="zh-CN"/>
        </w:rPr>
        <w:t>第五章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收集运输体系规划</w:t>
      </w:r>
      <w:bookmarkEnd w:id="99"/>
    </w:p>
    <w:p w14:paraId="50B025CD">
      <w:pPr>
        <w:pStyle w:val="8"/>
        <w:spacing w:before="182" w:line="360" w:lineRule="auto"/>
        <w:ind w:left="28" w:right="79" w:firstLine="574" w:firstLineChars="200"/>
        <w:outlineLvl w:val="1"/>
        <w:rPr>
          <w:rFonts w:hint="eastAsia"/>
          <w:lang w:eastAsia="zh-CN"/>
        </w:rPr>
      </w:pPr>
      <w:bookmarkStart w:id="100" w:name="bookmark107"/>
      <w:bookmarkEnd w:id="100"/>
      <w:bookmarkStart w:id="101" w:name="bookmark104"/>
      <w:bookmarkEnd w:id="101"/>
      <w:bookmarkStart w:id="102" w:name="bookmark105"/>
      <w:bookmarkEnd w:id="102"/>
      <w:bookmarkStart w:id="103" w:name="_Toc186468120"/>
      <w:r>
        <w:rPr>
          <w:rFonts w:hint="eastAsia"/>
          <w:b/>
          <w:bCs/>
          <w:spacing w:val="-7"/>
          <w:lang w:eastAsia="zh-CN"/>
        </w:rPr>
        <w:t>第一节</w:t>
      </w:r>
      <w:r>
        <w:rPr>
          <w:spacing w:val="15"/>
          <w:lang w:eastAsia="zh-CN"/>
        </w:rPr>
        <w:t xml:space="preserve"> </w:t>
      </w:r>
      <w:r>
        <w:rPr>
          <w:rFonts w:hint="eastAsia"/>
          <w:b/>
          <w:bCs/>
          <w:spacing w:val="-7"/>
          <w:lang w:eastAsia="zh-CN"/>
        </w:rPr>
        <w:t>分类收集规划</w:t>
      </w:r>
      <w:bookmarkEnd w:id="103"/>
    </w:p>
    <w:p w14:paraId="507F0D4F">
      <w:pPr>
        <w:spacing w:before="213" w:line="360" w:lineRule="auto"/>
        <w:ind w:firstLine="478" w:firstLineChars="200"/>
        <w:rPr>
          <w:rFonts w:hint="eastAsia"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（一）基本要求</w:t>
      </w:r>
    </w:p>
    <w:p w14:paraId="34064103">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（1）建设单位</w:t>
      </w:r>
    </w:p>
    <w:p w14:paraId="6EF8ED39">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建设单位应当向</w:t>
      </w:r>
      <w:r>
        <w:rPr>
          <w:rFonts w:hint="eastAsia" w:ascii="宋体" w:hAnsi="宋体" w:eastAsia="宋体" w:cs="宋体"/>
          <w:spacing w:val="-1"/>
          <w:sz w:val="24"/>
          <w:szCs w:val="24"/>
          <w:lang w:val="en-US" w:eastAsia="zh-CN"/>
        </w:rPr>
        <w:t>行政审批局</w:t>
      </w:r>
      <w:r>
        <w:rPr>
          <w:rFonts w:hint="eastAsia" w:ascii="宋体" w:hAnsi="宋体" w:eastAsia="宋体" w:cs="宋体"/>
          <w:spacing w:val="-1"/>
          <w:sz w:val="24"/>
          <w:szCs w:val="24"/>
          <w:lang w:eastAsia="zh-CN"/>
        </w:rPr>
        <w:t>申请建筑垃圾处置许可，并按照规定缴纳处置费。城市管理部门会同公安机关交通管理、环境保护、住房和城乡建设部门根据工程工期、建筑垃圾量、道路状况和环境保护要求，对建筑垃圾处置方案进行审查。</w:t>
      </w:r>
    </w:p>
    <w:p w14:paraId="5EB19B71">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加强建筑工地管理，鼓励建设单位争创“文明工地”，对“文明工地”的建设单位进行奖励。建设单位或者施工单位应按照市建筑垃圾管理部门制订的《建筑工地现场管理标准》进行工地管理；应当在施工现场设置建筑垃圾运输处置公示牌，标明运输企业名称以及城市管理部门、公安机关交通管理部门、环境保护部门等投诉电话;建筑垃圾分类堆放（分为渣土、碎石块、废砂浆、砖瓦碎块、混凝土块、沥青块、废塑料、废金属料、废竹木等）；渣土不能在四十八小时内清运的，应当采取全覆盖等措施控制扬尘。出入口进行道路硬化，设置冲洗设施等。</w:t>
      </w:r>
    </w:p>
    <w:p w14:paraId="5EA52214">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城市道路挖掘、市政设施抢修以及居民装饰装潢作业，施工现场无法设置车辆冲洗设施的，应当采取其他保洁措施，保证净车出场。</w:t>
      </w:r>
    </w:p>
    <w:p w14:paraId="001945EA">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（2）收集运输单位</w:t>
      </w:r>
    </w:p>
    <w:p w14:paraId="4B876EA1">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经营建筑垃圾运输业务的单位，应当拥有专用的运输设备和</w:t>
      </w:r>
      <w:r>
        <w:rPr>
          <w:rFonts w:hint="eastAsia" w:ascii="宋体" w:hAnsi="宋体" w:eastAsia="宋体" w:cs="宋体"/>
          <w:spacing w:val="-1"/>
          <w:sz w:val="24"/>
          <w:szCs w:val="24"/>
          <w:lang w:val="en-US" w:eastAsia="zh-CN"/>
        </w:rPr>
        <w:t>车</w:t>
      </w:r>
      <w:r>
        <w:rPr>
          <w:rFonts w:hint="eastAsia" w:ascii="宋体" w:hAnsi="宋体" w:eastAsia="宋体" w:cs="宋体"/>
          <w:spacing w:val="-1"/>
          <w:sz w:val="24"/>
          <w:szCs w:val="24"/>
          <w:lang w:eastAsia="zh-CN"/>
        </w:rPr>
        <w:t>辆并依法取得建筑垃圾运输资质。承运建筑垃圾的运输单位，应当在运输前持承运合同到县行政审批局办理准运证，并在运输过程中随车携带准运证。运输建筑垃圾的行驶路线和时间，由主管部门会同交通部门确定，建筑垃圾运输企业应当在施工现场配备管理人员，配合建设单位或者施工单位履行职责，并做好书面记录。</w:t>
      </w:r>
    </w:p>
    <w:p w14:paraId="25AC03A9">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运输车辆应当按照管理部门的要求安装使用卫星定位装置，具备完整、良好的建筑垃圾分类运输设备和全密闭运输机械装置。按照规定喷印所属企业名称、标志、编号、反光标贴及放大号牌，车身颜色醒目且相对统一。</w:t>
      </w:r>
    </w:p>
    <w:p w14:paraId="531536D2">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处理处置单位设置建筑垃圾回填场的处理处置单位，应当向县行政审批局申请处置许可。禁止任何单位和个人未经许可擅自设置回填场。回填工程基坑、洼地等需要受纳渣土的，受纳单位应当到县行政审批局申报登记。</w:t>
      </w:r>
    </w:p>
    <w:p w14:paraId="6FE4FA9E">
      <w:pPr>
        <w:spacing w:line="360" w:lineRule="auto"/>
        <w:ind w:firstLine="482"/>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回填场经营者应当按照规定，实施场内道路硬化，设置清洗设施，置管理人员和保洁人员,查验进场车辆的安全证、准运证、通行证建立日作业台账。不得受纳许可规定以外的建筑垃圾，不得允许无安全证、准运证、通行证的车辆进场卸载建筑垃圾。</w:t>
      </w:r>
    </w:p>
    <w:p w14:paraId="6B13E84D">
      <w:pPr>
        <w:spacing w:before="213" w:line="360" w:lineRule="auto"/>
        <w:ind w:firstLine="478" w:firstLineChars="200"/>
        <w:rPr>
          <w:rFonts w:hint="eastAsia" w:ascii="宋体" w:hAnsi="宋体" w:eastAsia="宋体" w:cs="宋体"/>
          <w:b/>
          <w:bCs/>
          <w:spacing w:val="-1"/>
          <w:sz w:val="24"/>
          <w:szCs w:val="24"/>
          <w:lang w:eastAsia="zh-CN"/>
        </w:rPr>
      </w:pPr>
      <w:r>
        <w:rPr>
          <w:rFonts w:hint="eastAsia" w:ascii="宋体" w:hAnsi="宋体" w:eastAsia="宋体" w:cs="宋体"/>
          <w:b/>
          <w:bCs/>
          <w:spacing w:val="-1"/>
          <w:sz w:val="24"/>
          <w:szCs w:val="24"/>
          <w:lang w:eastAsia="zh-CN"/>
        </w:rPr>
        <w:t>（二）收运体系</w:t>
      </w:r>
    </w:p>
    <w:p w14:paraId="4BB3F8B3">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（一）工程渣土（泥浆）、工程垃圾和拆除垃圾</w:t>
      </w:r>
    </w:p>
    <w:p w14:paraId="5258D606">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w:t>
      </w:r>
      <w:r>
        <w:rPr>
          <w:rFonts w:ascii="宋体" w:hAnsi="宋体" w:eastAsia="宋体" w:cs="宋体"/>
          <w:spacing w:val="-1"/>
          <w:sz w:val="24"/>
          <w:szCs w:val="24"/>
          <w:lang w:eastAsia="zh-CN"/>
        </w:rPr>
        <w:t>收集堆放阶段</w:t>
      </w:r>
    </w:p>
    <w:p w14:paraId="35178CB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①</w:t>
      </w:r>
      <w:r>
        <w:rPr>
          <w:rFonts w:ascii="宋体" w:hAnsi="宋体" w:eastAsia="宋体" w:cs="宋体"/>
          <w:spacing w:val="-1"/>
          <w:sz w:val="24"/>
          <w:szCs w:val="24"/>
          <w:lang w:eastAsia="zh-CN"/>
        </w:rPr>
        <w:t>施工现场建筑垃圾应分类收集存放，建筑垃圾存放点应设置围挡设施，宜封闭建造，设施应采用重复利用率高的材料，采取防扬尘、消防应急安全防范等措施。</w:t>
      </w:r>
    </w:p>
    <w:p w14:paraId="637DBE23">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②</w:t>
      </w:r>
      <w:r>
        <w:rPr>
          <w:rFonts w:ascii="宋体" w:hAnsi="宋体" w:eastAsia="宋体" w:cs="宋体"/>
          <w:spacing w:val="-1"/>
          <w:sz w:val="24"/>
          <w:szCs w:val="24"/>
          <w:lang w:eastAsia="zh-CN"/>
        </w:rPr>
        <w:t>建筑垃圾收集与施工应合理安排作业时间，不宜影响现场施工作业；</w:t>
      </w:r>
    </w:p>
    <w:p w14:paraId="69F4425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③</w:t>
      </w:r>
      <w:r>
        <w:rPr>
          <w:rFonts w:ascii="宋体" w:hAnsi="宋体" w:eastAsia="宋体" w:cs="宋体"/>
          <w:spacing w:val="-1"/>
          <w:sz w:val="24"/>
          <w:szCs w:val="24"/>
          <w:lang w:eastAsia="zh-CN"/>
        </w:rPr>
        <w:t>建筑垃圾宜根据尺寸及重量，采用人工和机械结合的方法有组织收集，严禁高空抛掷；</w:t>
      </w:r>
    </w:p>
    <w:p w14:paraId="5AA3017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④</w:t>
      </w:r>
      <w:r>
        <w:rPr>
          <w:rFonts w:ascii="宋体" w:hAnsi="宋体" w:eastAsia="宋体" w:cs="宋体"/>
          <w:spacing w:val="-1"/>
          <w:sz w:val="24"/>
          <w:szCs w:val="24"/>
          <w:lang w:eastAsia="zh-CN"/>
        </w:rPr>
        <w:t>工程泥浆应通过工程现场设置的泥浆池或封闭容器收集存放，泥浆池宜采用不透水、可周转的材料制作，未加脱水处置的泥浆严禁就地或随意排放；</w:t>
      </w:r>
    </w:p>
    <w:p w14:paraId="3A7B181B">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⑤</w:t>
      </w:r>
      <w:r>
        <w:rPr>
          <w:rFonts w:ascii="宋体" w:hAnsi="宋体" w:eastAsia="宋体" w:cs="宋体"/>
          <w:spacing w:val="-1"/>
          <w:sz w:val="24"/>
          <w:szCs w:val="24"/>
          <w:lang w:eastAsia="zh-CN"/>
        </w:rPr>
        <w:t>施工现场建筑垃圾块体尺寸超过现场建筑垃圾处理设备要求时，应经破碎后再收集、存放；</w:t>
      </w:r>
    </w:p>
    <w:p w14:paraId="1F58854C">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⑥</w:t>
      </w:r>
      <w:r>
        <w:rPr>
          <w:rFonts w:ascii="宋体" w:hAnsi="宋体" w:eastAsia="宋体" w:cs="宋体"/>
          <w:spacing w:val="-1"/>
          <w:sz w:val="24"/>
          <w:szCs w:val="24"/>
          <w:lang w:eastAsia="zh-CN"/>
        </w:rPr>
        <w:t>施工现场粉末状建筑垃圾应采用封闭容器收集存放，应采取防潮措施；</w:t>
      </w:r>
    </w:p>
    <w:p w14:paraId="21FE8502">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⑦</w:t>
      </w:r>
      <w:r>
        <w:rPr>
          <w:rFonts w:ascii="宋体" w:hAnsi="宋体" w:eastAsia="宋体" w:cs="宋体"/>
          <w:spacing w:val="-1"/>
          <w:sz w:val="24"/>
          <w:szCs w:val="24"/>
          <w:lang w:eastAsia="zh-CN"/>
        </w:rPr>
        <w:t>建筑垃圾宜采用水平运输和垂直运输结合的方法收集，并运送至存放点；</w:t>
      </w:r>
    </w:p>
    <w:p w14:paraId="3C4173BF">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⑧</w:t>
      </w:r>
      <w:r>
        <w:rPr>
          <w:rFonts w:ascii="宋体" w:hAnsi="宋体" w:eastAsia="宋体" w:cs="宋体"/>
          <w:spacing w:val="-1"/>
          <w:sz w:val="24"/>
          <w:szCs w:val="24"/>
          <w:lang w:eastAsia="zh-CN"/>
        </w:rPr>
        <w:t>施工现场建筑垃圾堆放应满足地基承载力要求，应进行堆体和地基的稳定性验算；当存放点附近有挖方工程时，应进行堆体和挖方边坡的稳定验算</w:t>
      </w:r>
      <w:r>
        <w:rPr>
          <w:rFonts w:hint="eastAsia" w:ascii="宋体" w:hAnsi="宋体" w:eastAsia="宋体" w:cs="宋体"/>
          <w:spacing w:val="-1"/>
          <w:sz w:val="24"/>
          <w:szCs w:val="24"/>
          <w:lang w:eastAsia="zh-CN"/>
        </w:rPr>
        <w:t>。</w:t>
      </w:r>
    </w:p>
    <w:p w14:paraId="36022DF2">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w:t>
      </w:r>
      <w:r>
        <w:rPr>
          <w:rFonts w:ascii="宋体" w:hAnsi="宋体" w:eastAsia="宋体" w:cs="宋体"/>
          <w:spacing w:val="-1"/>
          <w:sz w:val="24"/>
          <w:szCs w:val="24"/>
          <w:lang w:eastAsia="zh-CN"/>
        </w:rPr>
        <w:t>运输阶段</w:t>
      </w:r>
    </w:p>
    <w:p w14:paraId="0CA9624D">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排放单位委托工程渣土、工程泥浆、工程垃圾和拆除垃圾由具备建筑垃圾运输资质的企业及车辆进场进行清运至收纳点或处置场所。建筑垃圾运输企业及车辆按照核准指定的线路、时间运输建筑垃圾，严厉查处超速行驶、疲劳驾驶、不按规定时间和线路行驶等违法违规行为。</w:t>
      </w:r>
    </w:p>
    <w:p w14:paraId="592CDF1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w:t>
      </w:r>
      <w:r>
        <w:rPr>
          <w:rFonts w:ascii="宋体" w:hAnsi="宋体" w:eastAsia="宋体" w:cs="宋体"/>
          <w:spacing w:val="-1"/>
          <w:sz w:val="24"/>
          <w:szCs w:val="24"/>
          <w:lang w:eastAsia="zh-CN"/>
        </w:rPr>
        <w:t>处置阶段</w:t>
      </w:r>
    </w:p>
    <w:p w14:paraId="29775B42">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工程渣土（泥浆）、工程垃圾和拆除垃圾必须清运至指定的处置场所进行填埋、资源化利用，不能利用可燃烧工程垃圾及拆除垃圾运输至生活垃圾焚烧发电厂处置。</w:t>
      </w:r>
    </w:p>
    <w:p w14:paraId="62F4CE03">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行业主管部门和属地镇街建立完善日常巡查机制。</w:t>
      </w:r>
    </w:p>
    <w:p w14:paraId="64903D87">
      <w:pPr>
        <w:spacing w:line="360" w:lineRule="auto"/>
        <w:ind w:firstLine="480"/>
        <w:rPr>
          <w:rFonts w:hint="eastAsia" w:ascii="宋体" w:hAnsi="宋体" w:eastAsia="宋体"/>
          <w:b/>
          <w:bCs/>
          <w:spacing w:val="-5"/>
          <w:sz w:val="24"/>
          <w:szCs w:val="24"/>
          <w:lang w:eastAsia="zh-CN"/>
        </w:rPr>
      </w:pPr>
      <w:r>
        <w:rPr>
          <w:rFonts w:ascii="宋体" w:hAnsi="宋体" w:eastAsia="宋体"/>
          <w:b/>
          <w:bCs/>
          <w:spacing w:val="-5"/>
          <w:sz w:val="24"/>
          <w:szCs w:val="24"/>
          <w:lang w:eastAsia="zh-CN"/>
        </w:rPr>
        <w:t>（</w:t>
      </w:r>
      <w:r>
        <w:rPr>
          <w:rFonts w:hint="eastAsia" w:ascii="宋体" w:hAnsi="宋体" w:eastAsia="宋体"/>
          <w:b/>
          <w:bCs/>
          <w:spacing w:val="-5"/>
          <w:sz w:val="24"/>
          <w:szCs w:val="24"/>
          <w:lang w:eastAsia="zh-CN"/>
        </w:rPr>
        <w:t>三</w:t>
      </w:r>
      <w:r>
        <w:rPr>
          <w:rFonts w:ascii="宋体" w:hAnsi="宋体" w:eastAsia="宋体"/>
          <w:b/>
          <w:bCs/>
          <w:spacing w:val="-5"/>
          <w:sz w:val="24"/>
          <w:szCs w:val="24"/>
          <w:lang w:eastAsia="zh-CN"/>
        </w:rPr>
        <w:t>）装修垃圾</w:t>
      </w:r>
    </w:p>
    <w:p w14:paraId="0C95483A">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w:t>
      </w:r>
      <w:r>
        <w:rPr>
          <w:rFonts w:ascii="宋体" w:hAnsi="宋体" w:eastAsia="宋体" w:cs="宋体"/>
          <w:spacing w:val="-1"/>
          <w:sz w:val="24"/>
          <w:szCs w:val="24"/>
          <w:lang w:eastAsia="zh-CN"/>
        </w:rPr>
        <w:t>施工阶段</w:t>
      </w:r>
    </w:p>
    <w:p w14:paraId="560086ED">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新建居住小区，应在规划建设时同步配套设置场地作为装修垃圾收集点，并与小区一并投入使用；精装修成品住房应在工地施工场地内单独设置装修垃圾收集点；商场、企业在内部划出区域作为装修垃圾临时堆放场地。</w:t>
      </w:r>
    </w:p>
    <w:p w14:paraId="6D45123A">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w:t>
      </w:r>
      <w:r>
        <w:rPr>
          <w:rFonts w:ascii="宋体" w:hAnsi="宋体" w:eastAsia="宋体" w:cs="宋体"/>
          <w:spacing w:val="-1"/>
          <w:sz w:val="24"/>
          <w:szCs w:val="24"/>
          <w:lang w:eastAsia="zh-CN"/>
        </w:rPr>
        <w:t>运输阶段</w:t>
      </w:r>
    </w:p>
    <w:p w14:paraId="0DD93D00">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建筑垃圾产生单位或物业管理公司事先进行申请处置核准，并委托建筑垃圾运输企业进行收集运输至建筑垃圾综合利用处置场所。</w:t>
      </w:r>
    </w:p>
    <w:p w14:paraId="6205DB46">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零星不需要办理施工许可的装修项目业主，可预约上门收集，委托建筑垃圾运输企业实行联单制，将装修垃圾运输至建筑垃圾综合利用处置场所。联单运输企业、业主、主管部门各存1份。</w:t>
      </w:r>
    </w:p>
    <w:p w14:paraId="15BA081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w:t>
      </w:r>
      <w:r>
        <w:rPr>
          <w:rFonts w:ascii="宋体" w:hAnsi="宋体" w:eastAsia="宋体" w:cs="宋体"/>
          <w:spacing w:val="-1"/>
          <w:sz w:val="24"/>
          <w:szCs w:val="24"/>
          <w:lang w:eastAsia="zh-CN"/>
        </w:rPr>
        <w:t>处置阶段</w:t>
      </w:r>
    </w:p>
    <w:p w14:paraId="1CD41C6A">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装修垃圾分类清运至核准建筑垃圾综合处置厂进行资源化利用或最终处置。</w:t>
      </w:r>
    </w:p>
    <w:p w14:paraId="1052D6BE">
      <w:pPr>
        <w:pStyle w:val="8"/>
        <w:spacing w:before="182" w:line="360" w:lineRule="auto"/>
        <w:ind w:left="28" w:right="79" w:firstLine="574" w:firstLineChars="200"/>
        <w:outlineLvl w:val="1"/>
        <w:rPr>
          <w:rFonts w:hint="eastAsia"/>
          <w:b/>
          <w:bCs/>
          <w:spacing w:val="-7"/>
          <w:lang w:eastAsia="zh-CN"/>
        </w:rPr>
      </w:pPr>
      <w:bookmarkStart w:id="104" w:name="_Toc186468121"/>
      <w:r>
        <w:rPr>
          <w:rFonts w:hint="eastAsia"/>
          <w:b/>
          <w:bCs/>
          <w:spacing w:val="-7"/>
          <w:lang w:eastAsia="zh-CN"/>
        </w:rPr>
        <w:t>第二节 收运设施</w:t>
      </w:r>
      <w:bookmarkEnd w:id="104"/>
    </w:p>
    <w:p w14:paraId="5504EE6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收运体系设施主要包括装修垃圾收集点和建筑垃圾转运调配场。</w:t>
      </w:r>
    </w:p>
    <w:p w14:paraId="393A7B73">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（一）装修垃圾收集点</w:t>
      </w:r>
    </w:p>
    <w:p w14:paraId="139EADB1">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装修垃圾收集点为装修垃圾的前端收集设施，用于居民在建造，装饰、维修和拆除房屋过程中产生的建筑垃圾的集中收集和临时堆放，从而有利于装修垃圾集中运往建筑垃圾调配场、消纳场和终端处理设施。</w:t>
      </w:r>
    </w:p>
    <w:p w14:paraId="497A1AA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规划夹江县新建居住小区，应在规划建设时同步配套设施若干场地作为装修垃圾的收集点，并于小区一并投入使用，同时应有环卫主管部门参与验收；精装修成品住房应在工地施工场地内单独设置装修垃圾收集点，确保装修垃圾与其他建筑垃圾的分类收集。</w:t>
      </w:r>
    </w:p>
    <w:p w14:paraId="46E4A4A4">
      <w:pPr>
        <w:spacing w:line="360" w:lineRule="auto"/>
        <w:ind w:firstLine="480"/>
        <w:rPr>
          <w:rFonts w:hint="eastAsia" w:ascii="宋体" w:hAnsi="宋体" w:eastAsia="宋体" w:cs="宋体"/>
          <w:spacing w:val="-1"/>
          <w:sz w:val="24"/>
          <w:szCs w:val="24"/>
          <w:lang w:eastAsia="zh-CN"/>
        </w:rPr>
      </w:pPr>
      <w:r>
        <w:rPr>
          <w:rFonts w:hint="eastAsia" w:ascii="宋体" w:hAnsi="宋体" w:eastAsia="宋体"/>
          <w:b/>
          <w:bCs/>
          <w:spacing w:val="-5"/>
          <w:sz w:val="24"/>
          <w:szCs w:val="24"/>
          <w:lang w:eastAsia="zh-CN"/>
        </w:rPr>
        <w:t>（二）建筑垃圾转运调配场</w:t>
      </w:r>
    </w:p>
    <w:p w14:paraId="4C8CF6E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建筑垃圾调配场主要用于建筑垃圾（包括工程渣土）的集中和前端分拣，以及暂时无法进行利用的建筑垃圾和运输距离远、需要中转的建筑垃圾的临时堆放。其中的装修垃圾和拆除垃圾由</w:t>
      </w:r>
      <w:r>
        <w:rPr>
          <w:rFonts w:hint="eastAsia" w:ascii="宋体" w:hAnsi="宋体" w:eastAsia="宋体" w:cs="宋体"/>
          <w:spacing w:val="-1"/>
          <w:sz w:val="24"/>
          <w:szCs w:val="24"/>
          <w:lang w:val="en-US" w:eastAsia="zh-CN"/>
        </w:rPr>
        <w:t>施工企业自行</w:t>
      </w:r>
      <w:r>
        <w:rPr>
          <w:rFonts w:hint="eastAsia" w:ascii="宋体" w:hAnsi="宋体" w:eastAsia="宋体" w:cs="宋体"/>
          <w:spacing w:val="-1"/>
          <w:sz w:val="24"/>
          <w:szCs w:val="24"/>
          <w:lang w:eastAsia="zh-CN"/>
        </w:rPr>
        <w:t>收集，运输到终端处理设施（例如建筑垃圾综合利用厂）进行集中处理，或运输到有需求的建筑垃圾消纳场（再生建材厂）。</w:t>
      </w:r>
    </w:p>
    <w:p w14:paraId="56E9C9A6">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规划一方面应完善现有临时堆放场设施建设并加强管理，主要作为城区以内的建筑垃圾转运调配场，另一方面将此模式在整个市区范围内推广。基于装修垃圾前端收集车辆基本为小型运输车辆的考虑，建筑垃圾转运调配场服务半径应控制在3-5公里以内，结合《夹江县国土空间总体规划（2021—2035年）》确定的城市未来发展格局。</w:t>
      </w:r>
    </w:p>
    <w:p w14:paraId="5F7EFE4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筑垃圾调配场的用地性质为临时性用地，建立利用现有建筑垃圾临时堆放点、已拆未建用地、储备用地等进行设置，若该用地被使用，国土、规划部门应协助建筑垃圾主管部门提供其他用地替代。此规划建筑垃圾调配场的选址地点仅为拟定及建议，实际选址由县政府自行进行选址。</w:t>
      </w:r>
    </w:p>
    <w:p w14:paraId="7A613A49">
      <w:pPr>
        <w:pStyle w:val="8"/>
        <w:spacing w:before="182" w:line="360" w:lineRule="auto"/>
        <w:ind w:left="28" w:right="79" w:firstLine="574" w:firstLineChars="200"/>
        <w:outlineLvl w:val="1"/>
        <w:rPr>
          <w:rFonts w:hint="eastAsia"/>
          <w:b/>
          <w:bCs/>
          <w:spacing w:val="-7"/>
          <w:lang w:eastAsia="zh-CN"/>
        </w:rPr>
      </w:pPr>
      <w:bookmarkStart w:id="105" w:name="_Toc186468122"/>
      <w:r>
        <w:rPr>
          <w:rFonts w:hint="eastAsia"/>
          <w:b/>
          <w:bCs/>
          <w:spacing w:val="-7"/>
          <w:lang w:eastAsia="zh-CN"/>
        </w:rPr>
        <w:t>第三节 收运车辆</w:t>
      </w:r>
      <w:bookmarkEnd w:id="105"/>
    </w:p>
    <w:p w14:paraId="7F05FE5F">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工程渣土、工程垃圾和拆迁垃圾的运输采用大型密闭化运输车;装修垃圾从收集点至转运调配场阶段采用小型密闭化运输车辆，从转运调配场至终端处置设施采用大型密闭化运输车。</w:t>
      </w:r>
    </w:p>
    <w:p w14:paraId="23FC8C7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一）建筑垃圾收运车辆应采用列入国家工业和信息化部《车辆生产企业及产品公告》内的产品，车辆的特征应与产品公告、出厂合格证相符，应满足国家、行业对机动车安全、排放、噪声、油耗的相关法规及标准要求，规划采用 25 吨建筑垃圾收运车辆，运输工程渣土、工程垃圾和拆迁垃圾：采用3吨或5吨小型密闭化车辆运输装修垃圾</w:t>
      </w:r>
    </w:p>
    <w:p w14:paraId="2AA5276B">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二）车辆驾驶室顶部应设置标志性顶灯，灯箱应固定牢固，颜色宜为白色,色泽均匀。应根据自身情况统一车辆车身及车厢主体颜色：车辆后箱板应使用反光材料喷涂牌号；驾驶室两侧车门应喷涂清运企业名称；车侧身及后箱板应喷涂监督举报电话，且车身应设置一定数量的反光贴。</w:t>
      </w:r>
    </w:p>
    <w:p w14:paraId="1CE5EF3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三）新购置的建筑垃圾清运车辆应符合国家工业和信息化部相关技术要求，车厢顶部宜采用刚性密闭装置，且宜安装闭合限位传感器，并与车载终端连接，车厢主体不宜采用外表面易残留建筑垃圾的外露加强筋结构，车厢内表面平顺光滑，改装车辆车厢顶部宜采用纵向开闭柔性结构篷布覆盖密闭装置。</w:t>
      </w:r>
    </w:p>
    <w:p w14:paraId="53C461A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四）建筑垃圾清运车辆应安装监控系统。监控系统由车载卫星定位系统和车载影像系统等组成，并应能接入城市建筑垃圾大数据监管平台。监控系统可实时查询每台车辆的精确位置、运输时间、行驶速度、行驶路线等信息，且可设置电子围栏，进行线路控制:并可预设车速，实现车辆超速报警功能，实现精准管理。</w:t>
      </w:r>
    </w:p>
    <w:p w14:paraId="112F9496">
      <w:pPr>
        <w:pStyle w:val="8"/>
        <w:spacing w:before="182" w:line="360" w:lineRule="auto"/>
        <w:ind w:left="28" w:right="79" w:firstLine="574" w:firstLineChars="200"/>
        <w:outlineLvl w:val="1"/>
        <w:rPr>
          <w:rFonts w:hint="eastAsia"/>
          <w:b/>
          <w:bCs/>
          <w:spacing w:val="-7"/>
          <w:lang w:eastAsia="zh-CN"/>
        </w:rPr>
      </w:pPr>
      <w:bookmarkStart w:id="106" w:name="bookmark121"/>
      <w:bookmarkEnd w:id="106"/>
      <w:bookmarkStart w:id="107" w:name="bookmark119"/>
      <w:bookmarkEnd w:id="107"/>
      <w:bookmarkStart w:id="108" w:name="_Toc186468123"/>
      <w:r>
        <w:rPr>
          <w:rFonts w:hint="eastAsia"/>
          <w:b/>
          <w:bCs/>
          <w:spacing w:val="-7"/>
          <w:lang w:eastAsia="zh-CN"/>
        </w:rPr>
        <w:t>第四节</w:t>
      </w:r>
      <w:r>
        <w:rPr>
          <w:b/>
          <w:bCs/>
          <w:spacing w:val="-7"/>
          <w:lang w:eastAsia="zh-CN"/>
        </w:rPr>
        <w:t xml:space="preserve"> 运输线路规划</w:t>
      </w:r>
      <w:bookmarkEnd w:id="108"/>
    </w:p>
    <w:p w14:paraId="541F3DC3">
      <w:pPr>
        <w:spacing w:line="360" w:lineRule="auto"/>
        <w:ind w:firstLine="480"/>
        <w:rPr>
          <w:rFonts w:hint="eastAsia" w:ascii="宋体" w:hAnsi="宋体" w:eastAsia="宋体" w:cs="宋体"/>
          <w:spacing w:val="-1"/>
          <w:sz w:val="24"/>
          <w:szCs w:val="24"/>
          <w:lang w:eastAsia="zh-CN"/>
        </w:rPr>
      </w:pPr>
      <w:bookmarkStart w:id="109" w:name="bookmark123"/>
      <w:bookmarkEnd w:id="109"/>
      <w:r>
        <w:rPr>
          <w:rFonts w:hint="eastAsia" w:ascii="宋体" w:hAnsi="宋体" w:eastAsia="宋体" w:cs="宋体"/>
          <w:spacing w:val="-1"/>
          <w:sz w:val="24"/>
          <w:szCs w:val="24"/>
          <w:lang w:eastAsia="zh-CN"/>
        </w:rPr>
        <w:t>建筑垃圾的运输遵循以下基本路线：从建筑垃圾收集点出发，经由次要道路或主要道路（若条件允许，可优先使用建筑垃圾专用道路），最终抵达建筑垃圾填埋场或建筑垃圾综合处理厂。此运输路线需事先获得县行政审批局的正式批准</w:t>
      </w:r>
      <w:r>
        <w:rPr>
          <w:rFonts w:ascii="宋体" w:hAnsi="宋体" w:eastAsia="宋体" w:cs="宋体"/>
          <w:spacing w:val="-1"/>
          <w:sz w:val="24"/>
          <w:szCs w:val="24"/>
          <w:lang w:eastAsia="zh-CN"/>
        </w:rPr>
        <w:t>。</w:t>
      </w:r>
    </w:p>
    <w:p w14:paraId="2F97E1F3">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为确保建筑垃圾运输的高效与安全，收运路线的规划应遵循以下核心原则：</w:t>
      </w:r>
    </w:p>
    <w:p w14:paraId="17D94A3C">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（1）起始点定位准确：收运路线的起始点应紧邻建筑垃圾排放地，以减少运输距离和成本，同时提高运输效率</w:t>
      </w:r>
      <w:r>
        <w:rPr>
          <w:rFonts w:ascii="宋体" w:hAnsi="宋体" w:eastAsia="宋体" w:cs="宋体"/>
          <w:spacing w:val="-1"/>
          <w:sz w:val="24"/>
          <w:szCs w:val="24"/>
          <w:lang w:eastAsia="zh-CN"/>
        </w:rPr>
        <w:t>；</w:t>
      </w:r>
    </w:p>
    <w:p w14:paraId="5235594B">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（2）路线紧凑高效：在选择收运路线时，应力求紧凑，避免不必要的重复或断续，以减少运输过程中的时间浪费和资源消耗</w:t>
      </w:r>
      <w:r>
        <w:rPr>
          <w:rFonts w:ascii="宋体" w:hAnsi="宋体" w:eastAsia="宋体" w:cs="宋体"/>
          <w:spacing w:val="-1"/>
          <w:sz w:val="24"/>
          <w:szCs w:val="24"/>
          <w:lang w:eastAsia="zh-CN"/>
        </w:rPr>
        <w:t>；</w:t>
      </w:r>
    </w:p>
    <w:p w14:paraId="2B3E3161">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（3）工作量平衡：规划收运路线时，应充分考虑各作业阶段和每条线路的工作量，确保收集和运输时间的大致均衡，以提高整体运输效率</w:t>
      </w:r>
      <w:r>
        <w:rPr>
          <w:rFonts w:ascii="宋体" w:hAnsi="宋体" w:eastAsia="宋体" w:cs="宋体"/>
          <w:spacing w:val="-1"/>
          <w:sz w:val="24"/>
          <w:szCs w:val="24"/>
          <w:lang w:eastAsia="zh-CN"/>
        </w:rPr>
        <w:t>；</w:t>
      </w:r>
    </w:p>
    <w:p w14:paraId="761E499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（4）避开高峰时段与城区：为避免交通拥堵和减少对城市环境的影响，收运路线应尽量避开交通高峰时段，并尽量减少穿越城区的次数；</w:t>
      </w:r>
    </w:p>
    <w:p w14:paraId="239EA1D8">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5）采用先进运输设备：建筑垃圾运输车辆应配备行驶记录仪、卫星定位系统等先进设备，以实现运输过程的实时监控和高效调度。同时，车辆应采用密闭方式，其中工程泥浆运输宜采用密闭罐车，其他建筑垃圾运输则宜采用密闭厢式货车，以减少运输过程中的扬尘和遗撒；</w:t>
      </w:r>
    </w:p>
    <w:p w14:paraId="5799449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（6）推广新能源运输车：为积极响应国家节能减排号召，大力推广使用新能源运输车进行建筑垃圾的运输。这不仅有助于降低运输过程中的碳排放，还能提升城市的绿色形象。</w:t>
      </w:r>
      <w:r>
        <w:rPr>
          <w:rFonts w:ascii="宋体" w:hAnsi="宋体" w:eastAsia="宋体" w:cs="宋体"/>
          <w:spacing w:val="-1"/>
          <w:sz w:val="24"/>
          <w:szCs w:val="24"/>
          <w:lang w:eastAsia="zh-CN"/>
        </w:rPr>
        <w:t>建筑运输路线规划图，如下</w:t>
      </w:r>
      <w:r>
        <w:rPr>
          <w:rFonts w:hint="eastAsia" w:ascii="宋体" w:hAnsi="宋体" w:eastAsia="宋体" w:cs="宋体"/>
          <w:spacing w:val="-1"/>
          <w:sz w:val="24"/>
          <w:szCs w:val="24"/>
          <w:lang w:eastAsia="zh-CN"/>
        </w:rPr>
        <w:t>：</w:t>
      </w:r>
    </w:p>
    <w:p w14:paraId="42C50A2A">
      <w:pPr>
        <w:spacing w:line="360" w:lineRule="auto"/>
        <w:ind w:firstLine="480"/>
        <w:rPr>
          <w:rFonts w:hint="eastAsia" w:ascii="宋体" w:hAnsi="宋体" w:eastAsia="宋体" w:cs="宋体"/>
          <w:spacing w:val="-1"/>
          <w:sz w:val="24"/>
          <w:szCs w:val="24"/>
          <w:lang w:eastAsia="zh-CN"/>
        </w:rPr>
      </w:pPr>
    </w:p>
    <w:p w14:paraId="0B9A4953">
      <w:pPr>
        <w:spacing w:line="360" w:lineRule="auto"/>
        <w:ind w:firstLine="480"/>
        <w:rPr>
          <w:rFonts w:hint="eastAsia" w:ascii="宋体" w:hAnsi="宋体" w:eastAsia="宋体" w:cs="宋体"/>
          <w:spacing w:val="-1"/>
          <w:sz w:val="24"/>
          <w:szCs w:val="24"/>
          <w:lang w:eastAsia="zh-CN"/>
        </w:rPr>
      </w:pPr>
    </w:p>
    <w:p w14:paraId="4E0CD8D4">
      <w:pPr>
        <w:spacing w:line="360" w:lineRule="auto"/>
        <w:ind w:firstLine="480"/>
        <w:rPr>
          <w:rFonts w:hint="eastAsia" w:ascii="宋体" w:hAnsi="宋体" w:eastAsia="宋体" w:cs="宋体"/>
          <w:spacing w:val="-1"/>
          <w:sz w:val="24"/>
          <w:szCs w:val="24"/>
          <w:lang w:eastAsia="zh-CN"/>
        </w:rPr>
      </w:pPr>
    </w:p>
    <w:p w14:paraId="32D1E324">
      <w:pPr>
        <w:spacing w:line="360" w:lineRule="auto"/>
        <w:ind w:firstLine="480"/>
        <w:jc w:val="center"/>
        <w:rPr>
          <w:rFonts w:hint="eastAsia" w:ascii="宋体" w:hAnsi="宋体" w:eastAsia="宋体" w:cs="宋体"/>
          <w:spacing w:val="-1"/>
          <w:sz w:val="24"/>
          <w:szCs w:val="24"/>
          <w:lang w:eastAsia="zh-CN"/>
        </w:rPr>
      </w:pPr>
      <w:r>
        <w:drawing>
          <wp:inline distT="0" distB="0" distL="0" distR="0">
            <wp:extent cx="4741545" cy="3625215"/>
            <wp:effectExtent l="0" t="0" r="1905" b="0"/>
            <wp:docPr id="571448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48063" name="图片 1"/>
                    <pic:cNvPicPr>
                      <a:picLocks noChangeAspect="1"/>
                    </pic:cNvPicPr>
                  </pic:nvPicPr>
                  <pic:blipFill>
                    <a:blip r:embed="rId16"/>
                    <a:stretch>
                      <a:fillRect/>
                    </a:stretch>
                  </pic:blipFill>
                  <pic:spPr>
                    <a:xfrm>
                      <a:off x="0" y="0"/>
                      <a:ext cx="4753301" cy="3634415"/>
                    </a:xfrm>
                    <a:prstGeom prst="rect">
                      <a:avLst/>
                    </a:prstGeom>
                  </pic:spPr>
                </pic:pic>
              </a:graphicData>
            </a:graphic>
          </wp:inline>
        </w:drawing>
      </w:r>
    </w:p>
    <w:p w14:paraId="125EF9D0">
      <w:pPr>
        <w:spacing w:line="360" w:lineRule="auto"/>
        <w:ind w:firstLine="480"/>
        <w:jc w:val="center"/>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建筑运输路线规划图</w:t>
      </w:r>
    </w:p>
    <w:p w14:paraId="3F11AFEA">
      <w:pPr>
        <w:spacing w:line="360" w:lineRule="auto"/>
        <w:ind w:firstLine="480"/>
        <w:jc w:val="center"/>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1698625</wp:posOffset>
                </wp:positionH>
                <wp:positionV relativeFrom="paragraph">
                  <wp:posOffset>121920</wp:posOffset>
                </wp:positionV>
                <wp:extent cx="497205" cy="0"/>
                <wp:effectExtent l="0" t="0" r="0" b="0"/>
                <wp:wrapNone/>
                <wp:docPr id="370679535" name="直接连接符 7"/>
                <wp:cNvGraphicFramePr/>
                <a:graphic xmlns:a="http://schemas.openxmlformats.org/drawingml/2006/main">
                  <a:graphicData uri="http://schemas.microsoft.com/office/word/2010/wordprocessingShape">
                    <wps:wsp>
                      <wps:cNvCnPr/>
                      <wps:spPr>
                        <a:xfrm>
                          <a:off x="0" y="0"/>
                          <a:ext cx="497205" cy="0"/>
                        </a:xfrm>
                        <a:prstGeom prst="line">
                          <a:avLst/>
                        </a:prstGeom>
                        <a:ln>
                          <a:solidFill>
                            <a:srgbClr val="7030A0"/>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直接连接符 7" o:spid="_x0000_s1026" o:spt="20" style="position:absolute;left:0pt;margin-left:133.75pt;margin-top:9.6pt;height:0pt;width:39.15pt;z-index:251660288;mso-width-relative:page;mso-height-relative:page;" filled="f" stroked="t" coordsize="21600,21600" o:gfxdata="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v78dYAAAAJAQAADwAAAAAAAAABACAAAAAiAAAAZHJzL2Rvd25yZXYueG1sUEsBAhQAFAAA&#10;AAgAh07iQJdHG9XxAQAAuQMAAA4AAAAAAAAAAQAgAAAAJQEAAGRycy9lMm9Eb2MueG1sUEsFBgAA&#10;AAAGAAYAWQEAAIgFAAAAAA==&#10;">
                <v:fill on="f" focussize="0,0"/>
                <v:stroke weight="1.5pt" color="#7030A0 [3206]" miterlimit="8" joinstyle="miter"/>
                <v:imagedata o:title=""/>
                <o:lock v:ext="edit" aspectratio="f"/>
              </v:line>
            </w:pict>
          </mc:Fallback>
        </mc:AlternateContent>
      </w:r>
      <w:r>
        <w:rPr>
          <w:rFonts w:hint="eastAsia" w:ascii="宋体" w:hAnsi="宋体" w:eastAsia="宋体" w:cs="宋体"/>
          <w:spacing w:val="-1"/>
          <w:sz w:val="24"/>
          <w:szCs w:val="24"/>
          <w:lang w:eastAsia="zh-CN"/>
        </w:rPr>
        <w:t>垃圾收运通行路线</w:t>
      </w:r>
    </w:p>
    <w:p w14:paraId="0883CCF5">
      <w:pPr>
        <w:spacing w:line="360" w:lineRule="auto"/>
        <w:ind w:firstLine="480"/>
        <w:jc w:val="center"/>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mc:AlternateContent>
          <mc:Choice Requires="wps">
            <w:drawing>
              <wp:anchor distT="0" distB="0" distL="114300" distR="114300" simplePos="0" relativeHeight="251661312" behindDoc="0" locked="0" layoutInCell="1" allowOverlap="1">
                <wp:simplePos x="0" y="0"/>
                <wp:positionH relativeFrom="column">
                  <wp:posOffset>1703070</wp:posOffset>
                </wp:positionH>
                <wp:positionV relativeFrom="paragraph">
                  <wp:posOffset>102870</wp:posOffset>
                </wp:positionV>
                <wp:extent cx="497205" cy="0"/>
                <wp:effectExtent l="0" t="0" r="0" b="0"/>
                <wp:wrapNone/>
                <wp:docPr id="105070927" name="直接连接符 7"/>
                <wp:cNvGraphicFramePr/>
                <a:graphic xmlns:a="http://schemas.openxmlformats.org/drawingml/2006/main">
                  <a:graphicData uri="http://schemas.microsoft.com/office/word/2010/wordprocessingShape">
                    <wps:wsp>
                      <wps:cNvCnPr/>
                      <wps:spPr>
                        <a:xfrm>
                          <a:off x="0" y="0"/>
                          <a:ext cx="497205" cy="0"/>
                        </a:xfrm>
                        <a:prstGeom prst="line">
                          <a:avLst/>
                        </a:prstGeom>
                        <a:ln>
                          <a:solidFill>
                            <a:srgbClr val="FF0000"/>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直接连接符 7" o:spid="_x0000_s1026" o:spt="20" style="position:absolute;left:0pt;margin-left:134.1pt;margin-top:8.1pt;height:0pt;width:39.15pt;z-index:251661312;mso-width-relative:page;mso-height-relative:page;" filled="f" stroked="t" coordsize="21600,21600" o:gfxdata="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5Ap&#10;HdUAAAAJAQAADwAAAAAAAAABACAAAAAiAAAAZHJzL2Rvd25yZXYueG1sUEsBAhQAFAAAAAgAh07i&#10;QPNNkqPsAQAAuQMAAA4AAAAAAAAAAQAgAAAAJAEAAGRycy9lMm9Eb2MueG1sUEsFBgAAAAAGAAYA&#10;WQEAAIIFAAAAAA==&#10;">
                <v:fill on="f" focussize="0,0"/>
                <v:stroke weight="1.5pt" color="#FF0000 [3206]" miterlimit="8" joinstyle="miter"/>
                <v:imagedata o:title=""/>
                <o:lock v:ext="edit" aspectratio="f"/>
              </v:line>
            </w:pict>
          </mc:Fallback>
        </mc:AlternateContent>
      </w:r>
      <w:r>
        <w:rPr>
          <w:rFonts w:hint="eastAsia" w:ascii="宋体" w:hAnsi="宋体" w:eastAsia="宋体" w:cs="宋体"/>
          <w:spacing w:val="-1"/>
          <w:sz w:val="24"/>
          <w:szCs w:val="24"/>
          <w:lang w:eastAsia="zh-CN"/>
        </w:rPr>
        <w:t>垃圾收运限行路线</w:t>
      </w:r>
    </w:p>
    <w:p w14:paraId="747B403F">
      <w:pPr>
        <w:pStyle w:val="8"/>
        <w:spacing w:before="182" w:line="360" w:lineRule="auto"/>
        <w:ind w:left="28" w:right="79" w:firstLine="574" w:firstLineChars="200"/>
        <w:outlineLvl w:val="1"/>
        <w:rPr>
          <w:rFonts w:hint="eastAsia"/>
          <w:b/>
          <w:bCs/>
          <w:spacing w:val="-7"/>
          <w:lang w:eastAsia="zh-CN"/>
        </w:rPr>
      </w:pPr>
      <w:bookmarkStart w:id="110" w:name="_Toc186468124"/>
      <w:r>
        <w:rPr>
          <w:rFonts w:hint="eastAsia"/>
          <w:b/>
          <w:bCs/>
          <w:spacing w:val="-7"/>
          <w:lang w:eastAsia="zh-CN"/>
        </w:rPr>
        <w:t>第五节</w:t>
      </w:r>
      <w:r>
        <w:rPr>
          <w:b/>
          <w:bCs/>
          <w:spacing w:val="-7"/>
          <w:lang w:eastAsia="zh-CN"/>
        </w:rPr>
        <w:t xml:space="preserve"> 运输</w:t>
      </w:r>
      <w:r>
        <w:rPr>
          <w:rFonts w:hint="eastAsia"/>
          <w:b/>
          <w:bCs/>
          <w:spacing w:val="-7"/>
          <w:lang w:eastAsia="zh-CN"/>
        </w:rPr>
        <w:t>系统建设</w:t>
      </w:r>
      <w:bookmarkEnd w:id="110"/>
    </w:p>
    <w:p w14:paraId="55FBA50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为构建高效、环保的建筑垃圾运输体系，本规划特就建筑垃圾运输的相关事宜作出如下规定：</w:t>
      </w:r>
    </w:p>
    <w:p w14:paraId="31F7363E">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（一）市场化运作机制</w:t>
      </w:r>
    </w:p>
    <w:p w14:paraId="73E8B88B">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建筑垃圾的运输工作将全面实行市场化运作，由经过建筑垃圾处置许可审核并获得相应资质的建筑垃圾运输企业承担。这些企业需严格按照核定线路进行运输，确保建筑垃圾从产生地到处理地的安全、有序转移。</w:t>
      </w:r>
    </w:p>
    <w:p w14:paraId="41FCAC6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（二）运输企业要求</w:t>
      </w:r>
    </w:p>
    <w:p w14:paraId="156EA14B">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①资质审核：所有从事建筑垃圾运输的企业必须经过严格的资质审核，确保具备相应的运输能力和管理水平；</w:t>
      </w:r>
    </w:p>
    <w:p w14:paraId="502E84B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②车辆要求：鼓励并引导建筑垃圾运输企业积极更换新型环保智能建筑垃圾运输车辆，这些车辆应具备更高的运输效率、更低的排放标准和更强的安全性能。同时，所有运输车辆需统一标识，以便于监管和识别；</w:t>
      </w:r>
    </w:p>
    <w:p w14:paraId="23A69C2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③线路管理：建筑垃圾运输企业需按照核定线路进行运输，不得擅自更改运输路线。如有特殊情况需调整线路，必须提前向相关部门申请并获得批准。</w:t>
      </w:r>
    </w:p>
    <w:p w14:paraId="49C24490">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（三）智能化管理手段</w:t>
      </w:r>
    </w:p>
    <w:p w14:paraId="3CCD167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为提升建筑垃圾运输的监管效率，充分利用现代信息技术手段，如GPS定位系统、视频监控等，对建筑垃圾运输车辆进行实时监控和调度。这不仅可以确保运输车辆按照核定线路行驶，还能及时发现并处理运输过程中的违规行为。</w:t>
      </w:r>
    </w:p>
    <w:p w14:paraId="22E39804">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（四）环保与安全保障</w:t>
      </w:r>
    </w:p>
    <w:p w14:paraId="104BA18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在建筑垃圾运输过程中，始终秉持环保与安全并重的原则。一方面，要求运输企业采取密闭运输、防尘降尘等措施，减少运输过程中的环境污染；另一方面，加强运输车辆的安全检查和维护，确保车辆性能良好，降低交通事故风险。</w:t>
      </w:r>
    </w:p>
    <w:p w14:paraId="40817EBB">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（五）政策引导与支持</w:t>
      </w:r>
    </w:p>
    <w:p w14:paraId="1770D633">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为鼓励建筑垃圾运输企业积极参与运输体系建设，出台一系列政策引导和支持措施，包括提供财政补贴、税收优惠等激励措施，以及加强行业监管和执法力度，为建筑垃圾运输行业的健康发展营造良好的市场环境。</w:t>
      </w:r>
    </w:p>
    <w:p w14:paraId="677031B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br w:type="page"/>
      </w:r>
    </w:p>
    <w:p w14:paraId="70EB95F1">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111" w:name="_Toc186468125"/>
      <w:r>
        <w:rPr>
          <w:rFonts w:hint="eastAsia"/>
          <w:b/>
          <w:bCs/>
          <w:spacing w:val="-5"/>
          <w:sz w:val="31"/>
          <w:szCs w:val="31"/>
          <w:lang w:eastAsia="zh-CN"/>
        </w:rPr>
        <w:t>第六章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处置利用体系规划</w:t>
      </w:r>
      <w:bookmarkEnd w:id="111"/>
    </w:p>
    <w:p w14:paraId="7F004E8E">
      <w:pPr>
        <w:pStyle w:val="8"/>
        <w:spacing w:before="182" w:line="360" w:lineRule="auto"/>
        <w:ind w:left="28" w:right="79" w:firstLine="574" w:firstLineChars="200"/>
        <w:outlineLvl w:val="1"/>
        <w:rPr>
          <w:rFonts w:hint="eastAsia"/>
          <w:b/>
          <w:bCs/>
          <w:spacing w:val="-7"/>
          <w:lang w:eastAsia="zh-CN"/>
        </w:rPr>
      </w:pPr>
      <w:bookmarkStart w:id="112" w:name="bookmark187"/>
      <w:bookmarkEnd w:id="112"/>
      <w:bookmarkStart w:id="113" w:name="_Toc186468126"/>
      <w:r>
        <w:rPr>
          <w:rFonts w:hint="eastAsia"/>
          <w:b/>
          <w:bCs/>
          <w:spacing w:val="-7"/>
          <w:lang w:eastAsia="zh-CN"/>
        </w:rPr>
        <w:t>第一节</w:t>
      </w:r>
      <w:r>
        <w:rPr>
          <w:b/>
          <w:bCs/>
          <w:spacing w:val="-7"/>
          <w:lang w:eastAsia="zh-CN"/>
        </w:rPr>
        <w:t xml:space="preserve"> 处置设施规划</w:t>
      </w:r>
      <w:bookmarkEnd w:id="113"/>
    </w:p>
    <w:p w14:paraId="002FD095">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(一)落实上位规划及相关文件思想</w:t>
      </w:r>
    </w:p>
    <w:p w14:paraId="6548430A">
      <w:pPr>
        <w:pStyle w:val="31"/>
        <w:spacing w:before="109" w:line="360" w:lineRule="auto"/>
        <w:ind w:right="79" w:firstLine="472" w:firstLineChars="200"/>
        <w:rPr>
          <w:rFonts w:hint="eastAsia"/>
          <w:color w:val="auto"/>
          <w:spacing w:val="-2"/>
          <w:sz w:val="24"/>
          <w:szCs w:val="24"/>
          <w:lang w:eastAsia="zh-CN"/>
        </w:rPr>
      </w:pPr>
      <w:r>
        <w:rPr>
          <w:rFonts w:hint="eastAsia"/>
          <w:color w:val="auto"/>
          <w:spacing w:val="-2"/>
          <w:sz w:val="24"/>
          <w:szCs w:val="24"/>
          <w:lang w:eastAsia="zh-CN"/>
        </w:rPr>
        <w:t>根据《四川省城市建筑垃圾处置及资源化利用行动方案》，到2025年底，全省基本建立城市建筑垃圾治理体系，全过程管理制度有效落实地级及以上城市建筑垃圾资源化处理能力满足实际需求，县级城市具有规范的建筑垃圾处置场所，城市建筑垃圾综合利用率达到50%以上。</w:t>
      </w:r>
    </w:p>
    <w:p w14:paraId="0418B664">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(二)呼应城市发展布局</w:t>
      </w:r>
    </w:p>
    <w:p w14:paraId="4319CBDB">
      <w:pPr>
        <w:spacing w:before="52" w:line="360" w:lineRule="auto"/>
        <w:ind w:left="24" w:firstLine="643"/>
        <w:jc w:val="both"/>
        <w:rPr>
          <w:rFonts w:hint="eastAsia" w:ascii="宋体" w:hAnsi="宋体" w:eastAsia="宋体" w:cs="宋体"/>
          <w:color w:val="auto"/>
          <w:spacing w:val="-2"/>
          <w:sz w:val="24"/>
          <w:szCs w:val="24"/>
          <w:lang w:eastAsia="zh-CN"/>
        </w:rPr>
      </w:pPr>
      <w:r>
        <w:rPr>
          <w:rFonts w:ascii="宋体" w:hAnsi="宋体" w:eastAsia="宋体" w:cs="宋体"/>
          <w:b/>
          <w:bCs/>
          <w:color w:val="auto"/>
          <w:spacing w:val="-2"/>
          <w:sz w:val="24"/>
          <w:szCs w:val="24"/>
          <w:lang w:eastAsia="zh-CN"/>
        </w:rPr>
        <w:t>县域空间策略</w:t>
      </w:r>
      <w:r>
        <w:rPr>
          <w:rFonts w:hint="eastAsia" w:ascii="宋体" w:hAnsi="宋体" w:eastAsia="宋体" w:cs="宋体"/>
          <w:b/>
          <w:bCs/>
          <w:color w:val="auto"/>
          <w:spacing w:val="-2"/>
          <w:sz w:val="24"/>
          <w:szCs w:val="24"/>
          <w:lang w:eastAsia="zh-CN"/>
        </w:rPr>
        <w:t>：</w:t>
      </w:r>
      <w:r>
        <w:rPr>
          <w:rFonts w:ascii="宋体" w:hAnsi="宋体" w:eastAsia="宋体" w:cs="宋体"/>
          <w:color w:val="auto"/>
          <w:spacing w:val="-2"/>
          <w:sz w:val="24"/>
          <w:szCs w:val="24"/>
          <w:lang w:eastAsia="zh-CN"/>
        </w:rPr>
        <w:t>加强对外开放空间协调。全面融入成都都市圈和乐峨夹同城化地区建设，培育新场镇、吴场镇、木城镇、甘江镇、华头镇门户功能。在毗邻地区探索建立产业协作园区，加强基础设施共建共享，支撑夹江建设乐山北部门户。</w:t>
      </w:r>
    </w:p>
    <w:p w14:paraId="4FAE6CDF">
      <w:pPr>
        <w:pStyle w:val="31"/>
        <w:spacing w:before="109" w:line="360" w:lineRule="auto"/>
        <w:ind w:right="79" w:firstLine="474" w:firstLineChars="200"/>
        <w:rPr>
          <w:rFonts w:hint="eastAsia"/>
          <w:color w:val="auto"/>
          <w:spacing w:val="-2"/>
          <w:sz w:val="24"/>
          <w:szCs w:val="24"/>
          <w:lang w:eastAsia="zh-CN"/>
        </w:rPr>
      </w:pPr>
      <w:r>
        <w:rPr>
          <w:b/>
          <w:bCs/>
          <w:color w:val="auto"/>
          <w:spacing w:val="-2"/>
          <w:sz w:val="24"/>
          <w:szCs w:val="24"/>
          <w:lang w:eastAsia="zh-CN"/>
        </w:rPr>
        <w:t>中心城区空间策略</w:t>
      </w:r>
      <w:r>
        <w:rPr>
          <w:rFonts w:hint="eastAsia"/>
          <w:b/>
          <w:bCs/>
          <w:color w:val="auto"/>
          <w:spacing w:val="-2"/>
          <w:sz w:val="24"/>
          <w:szCs w:val="24"/>
          <w:lang w:eastAsia="zh-CN"/>
        </w:rPr>
        <w:t>：</w:t>
      </w:r>
      <w:r>
        <w:rPr>
          <w:color w:val="auto"/>
          <w:spacing w:val="-2"/>
          <w:sz w:val="24"/>
          <w:szCs w:val="24"/>
          <w:lang w:eastAsia="zh-CN"/>
        </w:rPr>
        <w:t>完善各城市片区功能，片区内部形成开放共享活力的 社区中心，增设公服设施、教育医疗、体育设施，形成15分钟健康服务圈和便民服务圈。完善城市应急避难场所、救援疏散通道、救援物资储备等设施。规划国省道绕城线，缓解过境交通货运交通对城市内部的干扰。增强城市内部各功能片区之间快速干道联系。</w:t>
      </w:r>
    </w:p>
    <w:p w14:paraId="40BDE3B7">
      <w:pPr>
        <w:pStyle w:val="8"/>
        <w:spacing w:before="182" w:line="360" w:lineRule="auto"/>
        <w:ind w:left="28" w:right="79" w:firstLine="574" w:firstLineChars="200"/>
        <w:outlineLvl w:val="1"/>
        <w:rPr>
          <w:rFonts w:hint="eastAsia"/>
          <w:b/>
          <w:bCs/>
          <w:spacing w:val="-7"/>
          <w:lang w:eastAsia="zh-CN"/>
        </w:rPr>
      </w:pPr>
      <w:bookmarkStart w:id="114" w:name="_Toc186468127"/>
      <w:r>
        <w:rPr>
          <w:rFonts w:hint="eastAsia"/>
          <w:b/>
          <w:bCs/>
          <w:spacing w:val="-7"/>
          <w:lang w:eastAsia="zh-CN"/>
        </w:rPr>
        <w:t>第二节</w:t>
      </w:r>
      <w:r>
        <w:rPr>
          <w:b/>
          <w:bCs/>
          <w:spacing w:val="-7"/>
          <w:lang w:eastAsia="zh-CN"/>
        </w:rPr>
        <w:t xml:space="preserve"> </w:t>
      </w:r>
      <w:r>
        <w:rPr>
          <w:rFonts w:hint="eastAsia"/>
          <w:b/>
          <w:bCs/>
          <w:spacing w:val="-7"/>
          <w:lang w:eastAsia="zh-CN"/>
        </w:rPr>
        <w:t>技术路线</w:t>
      </w:r>
      <w:bookmarkEnd w:id="114"/>
    </w:p>
    <w:p w14:paraId="4C4CDD11">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（一）源头减量</w:t>
      </w:r>
    </w:p>
    <w:p w14:paraId="3BC9BE2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筑垃圾的减量化是指从源头减少建筑垃圾的产生量和排放量，是对建筑垃圾的数量、体积、种类、有害物质的全面管理，亦即开展清洁生产。它不仅要求减少建筑垃圾的数量和体积，还包括尽可能地减少其种类、降低其有害成分的浓度、减少或消除其危害特性等。减量化是防指建筑垃圾污染环境优先考虑的措施。</w:t>
      </w:r>
    </w:p>
    <w:p w14:paraId="4590A40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要减少建筑垃圾的产生，最好就是在设计和施工的组织方面采取措施，就是在建筑的各个阶段都进行仔细的计划和组织。</w:t>
      </w:r>
    </w:p>
    <w:p w14:paraId="58F078E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（1）优化建筑设计</w:t>
      </w:r>
    </w:p>
    <w:p w14:paraId="1C5C0FA4">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通过采用更好的设计方案使建筑物更不易受到损害，通过耐久性更好的建材以及通过使建筑物有更好的通用性，从而使建筑物更经久耐用。</w:t>
      </w:r>
    </w:p>
    <w:p w14:paraId="12D0BD81">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采用少产生建筑垃圾的结构设计,即没有建筑垃圾、没有零头料、没有不能重新使用的辅料，这就要求设计人员对建筑过程，对建筑材料和建筑构件的通常尺寸有准确的认识。</w:t>
      </w:r>
    </w:p>
    <w:p w14:paraId="6D02B6C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（2）推广装配化建筑</w:t>
      </w:r>
    </w:p>
    <w:p w14:paraId="1C2BFED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鼓励保障性安居工程建设装配式成品住房。</w:t>
      </w:r>
    </w:p>
    <w:p w14:paraId="5EDC3746">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（3）保证建筑物的质量和耐久性</w:t>
      </w:r>
    </w:p>
    <w:p w14:paraId="414168F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杜绝偷工减料、以次充好，降低工程质量的现象，科学安排施工进度，保证工程质量。建立行之有效的工程管理体制，明确设计、施工、监理、验收单位的资质要求和经济以及法律责任,杜绝行政干预，保证建筑工程的质量。保证建筑物的质量和耐久性，减少本不该要的维修和重建工作，就是减少了建筑垃圾产生的可能性。同时，建筑物质量越好，在日久以后必须拆除时，这种旧建筑材料可以再生得到质量更好的材料。</w:t>
      </w:r>
    </w:p>
    <w:p w14:paraId="0564EB8E">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（二）调剂减量</w:t>
      </w:r>
    </w:p>
    <w:p w14:paraId="0BAD6AE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主要针对工程渣土，采用回填的方法，以市场平衡为主。回填的区域，一是需要渣土的施工工地或单位；二是在公园、街头绿地等堆山造景，形成一定高度的假山，创造公园、街头绿地新的观景制高点，营造公园、绿地高低起伏、曲径通幽的格局气势，建造都市“搂绿天际线”；三是根据防洪规划、竖向规划，利用需要提高标高的区域进行整体平填。回填的利用方式，最关键的是供需信息的共享，需要建设、规划、国土、城管等管理部门共享信息，使得工程渣土有适宜的使用渠道，可以节约大量土地。</w:t>
      </w:r>
    </w:p>
    <w:p w14:paraId="16EBAC64">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建筑泥浆在施工工地实行泥水分离后，泥饼与工程渣土合并处置。</w:t>
      </w:r>
    </w:p>
    <w:p w14:paraId="6A4124D5">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（三）资源化利用</w:t>
      </w:r>
    </w:p>
    <w:p w14:paraId="602EFB8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装修垃圾和工程垃圾、拆迁垃圾，经分拣后具备资源化利用价值的木材、金属、玻璃进入回收利用渠道，混凝土块等纳入资源化利用设施进一步资源化利用。开展全过程的建筑垃圾减量、回收、资源化利用工作，是未来建筑垃圾处理发展的主要方向，建筑垃圾应尽量综合利用，因地制宜选择建筑垃圾资源化利用方式。</w:t>
      </w:r>
    </w:p>
    <w:p w14:paraId="05748FCA">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（1）渣土</w:t>
      </w:r>
    </w:p>
    <w:p w14:paraId="63BCE3C4">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渣土可用于筑路施工、桩基填料、地基基础等。建筑渣土一般分为上层土和下层土，可分层利用。下层土可用来烧制砖瓦，而上层土可代替传统的黄泥土用于园林绿化，利用垃圾中筛分出的土生产道路用底基层材料。将胶凝材料与垃圾中的土经过配制，采用固化剂技术可生产混凝土路面砖等制品。</w:t>
      </w:r>
    </w:p>
    <w:p w14:paraId="607AB68F">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（2）混凝土、碎石、砖块</w:t>
      </w:r>
    </w:p>
    <w:p w14:paraId="5EBA7C6A">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利用废弃建筑、道路混凝土和废弃砖石生产粗细骨料，可用于生应强度等级的混凝土、砂浆或制备诸如砌块、墙板、地砖等建材制品粗细骨料添加固化类材料后，也可用于公路路面基层;利用废砖瓦生产骨料，可用于生产再生砖、砌块、墙板、地砖等建材制品。</w:t>
      </w:r>
    </w:p>
    <w:p w14:paraId="3343E10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再生利用品在质量、安全、技术性能、环保等方面均应符合相关标准要求，并在产品明显标注再生利用标识。</w:t>
      </w:r>
    </w:p>
    <w:p w14:paraId="4E1B857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（3）旧木材、木屑</w:t>
      </w:r>
    </w:p>
    <w:p w14:paraId="10DBA5C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对于废弃木材类建筑垃圾，尚未明显破坏的木材可以直接再用于重建建筑，破损严重的木质构件可作为木质再生板材的原材料或用于造纸等。</w:t>
      </w:r>
    </w:p>
    <w:p w14:paraId="5573C00C">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不含有毒物质的碎木、锯末和木屑，如没有经过防腐处理的废木料、无油漆的废木料，可进入焚烧厂直接作为燃料利用其燃绕释放的能量。</w:t>
      </w:r>
    </w:p>
    <w:p w14:paraId="549B76C2">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（4）沥青</w:t>
      </w:r>
    </w:p>
    <w:p w14:paraId="6B27C79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在屋面拆除和道路翻修后会产生大量沥青、凝上的混合物，经过分选分离之后，沥青材料还可以循环使用，旧沥青路面经过破碎分和再生剂、新骨料、新沥青材料按适当比例重新拌合，形成具有一定路用性能的再生沥青混凝土，用于铺筑路面面层或基层。</w:t>
      </w:r>
    </w:p>
    <w:p w14:paraId="7021DBC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（5）金属</w:t>
      </w:r>
    </w:p>
    <w:p w14:paraId="499096C3">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部分金属有利用价值，如可在现场用钢筋头制作马凳，或用于现场安全防护措施；铁钉和铁丝等剩余价值不高、回收也比较费工时的金属，收集后进入废品回收系统。</w:t>
      </w:r>
    </w:p>
    <w:p w14:paraId="1A10EFB4">
      <w:pPr>
        <w:spacing w:line="360" w:lineRule="auto"/>
        <w:ind w:firstLine="442"/>
        <w:jc w:val="center"/>
        <w:rPr>
          <w:b/>
          <w:sz w:val="22"/>
        </w:rPr>
      </w:pPr>
      <w:r>
        <w:rPr>
          <w:rFonts w:hint="eastAsia"/>
          <w:b/>
          <w:sz w:val="22"/>
        </w:rPr>
        <w:t>6.2.1 建筑垃圾再生利用方法</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4503"/>
      </w:tblGrid>
      <w:tr w14:paraId="60CF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16C87C33">
            <w:pPr>
              <w:spacing w:line="360" w:lineRule="auto"/>
              <w:ind w:firstLine="482"/>
              <w:jc w:val="center"/>
              <w:rPr>
                <w:rFonts w:hint="eastAsia" w:ascii="宋体" w:hAnsi="宋体" w:eastAsia="宋体"/>
                <w:b/>
                <w:color w:val="000000" w:themeColor="text1"/>
                <w:sz w:val="24"/>
                <w:szCs w:val="24"/>
                <w14:textFill>
                  <w14:solidFill>
                    <w14:schemeClr w14:val="tx1"/>
                  </w14:solidFill>
                </w14:textFill>
              </w:rPr>
            </w:pPr>
            <w:r>
              <w:rPr>
                <w:rFonts w:ascii="宋体" w:hAnsi="宋体" w:eastAsia="宋体"/>
                <w:b/>
                <w:color w:val="000000" w:themeColor="text1"/>
                <w:sz w:val="24"/>
                <w:szCs w:val="24"/>
                <w14:textFill>
                  <w14:solidFill>
                    <w14:schemeClr w14:val="tx1"/>
                  </w14:solidFill>
                </w14:textFill>
              </w:rPr>
              <w:t>垃圾成分</w:t>
            </w:r>
          </w:p>
        </w:tc>
        <w:tc>
          <w:tcPr>
            <w:tcW w:w="5235" w:type="dxa"/>
            <w:vAlign w:val="center"/>
          </w:tcPr>
          <w:p w14:paraId="24515FA9">
            <w:pPr>
              <w:spacing w:line="360" w:lineRule="auto"/>
              <w:ind w:firstLine="482"/>
              <w:jc w:val="center"/>
              <w:rPr>
                <w:rFonts w:hint="eastAsia" w:ascii="宋体" w:hAnsi="宋体" w:eastAsia="宋体"/>
                <w:b/>
                <w:color w:val="000000" w:themeColor="text1"/>
                <w:sz w:val="24"/>
                <w:szCs w:val="24"/>
                <w14:textFill>
                  <w14:solidFill>
                    <w14:schemeClr w14:val="tx1"/>
                  </w14:solidFill>
                </w14:textFill>
              </w:rPr>
            </w:pPr>
            <w:r>
              <w:rPr>
                <w:rFonts w:ascii="宋体" w:hAnsi="宋体" w:eastAsia="宋体"/>
                <w:b/>
                <w:color w:val="000000" w:themeColor="text1"/>
                <w:sz w:val="24"/>
                <w:szCs w:val="24"/>
                <w14:textFill>
                  <w14:solidFill>
                    <w14:schemeClr w14:val="tx1"/>
                  </w14:solidFill>
                </w14:textFill>
              </w:rPr>
              <w:t>再生利用方法</w:t>
            </w:r>
          </w:p>
        </w:tc>
      </w:tr>
      <w:tr w14:paraId="1E32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165BD101">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开挖泥土</w:t>
            </w:r>
          </w:p>
        </w:tc>
        <w:tc>
          <w:tcPr>
            <w:tcW w:w="5235" w:type="dxa"/>
            <w:vAlign w:val="center"/>
          </w:tcPr>
          <w:p w14:paraId="5B6DCBDC">
            <w:pPr>
              <w:spacing w:line="360" w:lineRule="auto"/>
              <w:ind w:firstLine="48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堆山造景、回填、绿化</w:t>
            </w:r>
          </w:p>
        </w:tc>
      </w:tr>
      <w:tr w14:paraId="1A6C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14A91D5C">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碎砖瓦</w:t>
            </w:r>
          </w:p>
        </w:tc>
        <w:tc>
          <w:tcPr>
            <w:tcW w:w="5235" w:type="dxa"/>
            <w:vAlign w:val="center"/>
          </w:tcPr>
          <w:p w14:paraId="36D81363">
            <w:pPr>
              <w:spacing w:line="360" w:lineRule="auto"/>
              <w:ind w:firstLine="48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砌块、墙体材料、路基垫层</w:t>
            </w:r>
          </w:p>
        </w:tc>
      </w:tr>
      <w:tr w14:paraId="39E8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4FE870C7">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混凝土块</w:t>
            </w:r>
          </w:p>
        </w:tc>
        <w:tc>
          <w:tcPr>
            <w:tcW w:w="5235" w:type="dxa"/>
            <w:vAlign w:val="center"/>
          </w:tcPr>
          <w:p w14:paraId="233B6D98">
            <w:pPr>
              <w:spacing w:line="360" w:lineRule="auto"/>
              <w:ind w:firstLine="48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砌块、墙体材料、路基垫层</w:t>
            </w:r>
          </w:p>
        </w:tc>
      </w:tr>
      <w:tr w14:paraId="1380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17E95E19">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砂浆</w:t>
            </w:r>
          </w:p>
        </w:tc>
        <w:tc>
          <w:tcPr>
            <w:tcW w:w="5235" w:type="dxa"/>
            <w:vAlign w:val="center"/>
          </w:tcPr>
          <w:p w14:paraId="6ECB9782">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砌块、填料</w:t>
            </w:r>
          </w:p>
        </w:tc>
      </w:tr>
      <w:tr w14:paraId="6381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39281DAF">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钢材</w:t>
            </w:r>
          </w:p>
        </w:tc>
        <w:tc>
          <w:tcPr>
            <w:tcW w:w="5235" w:type="dxa"/>
            <w:vAlign w:val="center"/>
          </w:tcPr>
          <w:p w14:paraId="53078B8E">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再次使用、回炉</w:t>
            </w:r>
          </w:p>
        </w:tc>
      </w:tr>
      <w:tr w14:paraId="585C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7E7B8CB3">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木材、纸板</w:t>
            </w:r>
          </w:p>
        </w:tc>
        <w:tc>
          <w:tcPr>
            <w:tcW w:w="5235" w:type="dxa"/>
            <w:vAlign w:val="center"/>
          </w:tcPr>
          <w:p w14:paraId="64D19C0C">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复合板材、燃烧发电</w:t>
            </w:r>
          </w:p>
        </w:tc>
      </w:tr>
      <w:tr w14:paraId="3C5A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6A73AD0F">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塑料</w:t>
            </w:r>
          </w:p>
        </w:tc>
        <w:tc>
          <w:tcPr>
            <w:tcW w:w="5235" w:type="dxa"/>
            <w:vAlign w:val="center"/>
          </w:tcPr>
          <w:p w14:paraId="72C2F5BB">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粉碎、热分解、填埋</w:t>
            </w:r>
          </w:p>
        </w:tc>
      </w:tr>
      <w:tr w14:paraId="501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65A271F2">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沥青</w:t>
            </w:r>
          </w:p>
        </w:tc>
        <w:tc>
          <w:tcPr>
            <w:tcW w:w="5235" w:type="dxa"/>
            <w:vAlign w:val="center"/>
          </w:tcPr>
          <w:p w14:paraId="23FA3060">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再生沥青</w:t>
            </w:r>
          </w:p>
        </w:tc>
      </w:tr>
      <w:tr w14:paraId="6883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4070A136">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玻璃</w:t>
            </w:r>
          </w:p>
        </w:tc>
        <w:tc>
          <w:tcPr>
            <w:tcW w:w="5235" w:type="dxa"/>
            <w:vAlign w:val="center"/>
          </w:tcPr>
          <w:p w14:paraId="3BE55894">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高温熔化、路基垫层</w:t>
            </w:r>
          </w:p>
        </w:tc>
      </w:tr>
      <w:tr w14:paraId="47BE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35" w:type="dxa"/>
            <w:vAlign w:val="center"/>
          </w:tcPr>
          <w:p w14:paraId="297EDFAA">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其他</w:t>
            </w:r>
          </w:p>
        </w:tc>
        <w:tc>
          <w:tcPr>
            <w:tcW w:w="5235" w:type="dxa"/>
            <w:vAlign w:val="center"/>
          </w:tcPr>
          <w:p w14:paraId="035750AE">
            <w:pPr>
              <w:spacing w:line="360" w:lineRule="auto"/>
              <w:ind w:firstLine="480"/>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填埋</w:t>
            </w:r>
          </w:p>
        </w:tc>
      </w:tr>
    </w:tbl>
    <w:p w14:paraId="01C2D2A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政府结合处理工艺、处理场地，资金投入、设施设备配置水平等设定准入条件，通过市场准入制度及与企业签订协议等方式，鼓励相关企业进入建筑垃圾的资源化利用市场，鼓励建筑垃圾综合利用，引导夹江县建筑垃圾资源化再生利用企业合理布局，同时鼓励建设单位、施工单位优先采用建筑垃圾综合利用产品。</w:t>
      </w:r>
    </w:p>
    <w:p w14:paraId="2A17B492">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（四）弃置消纳</w:t>
      </w:r>
    </w:p>
    <w:p w14:paraId="6A771A75">
      <w:pPr>
        <w:spacing w:line="360" w:lineRule="auto"/>
        <w:ind w:firstLine="480"/>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不能进行资源化利用的建筑垃圾应当交由政府指定的建筑垃圾填埋场进行无害化处理。任何单位和个人不得将危险废物、生活垃圾混入建筑垃圾，不得擅自设立弃置场受纳建筑垃圾。</w:t>
      </w:r>
    </w:p>
    <w:p w14:paraId="763EEE0A">
      <w:pPr>
        <w:pStyle w:val="8"/>
        <w:spacing w:before="182" w:line="360" w:lineRule="auto"/>
        <w:ind w:left="28" w:right="79" w:firstLine="574" w:firstLineChars="200"/>
        <w:outlineLvl w:val="1"/>
        <w:rPr>
          <w:rFonts w:hint="eastAsia"/>
          <w:b/>
          <w:bCs/>
          <w:spacing w:val="-7"/>
          <w:lang w:eastAsia="zh-CN"/>
        </w:rPr>
      </w:pPr>
      <w:bookmarkStart w:id="115" w:name="_Toc186468128"/>
      <w:r>
        <w:rPr>
          <w:rFonts w:hint="eastAsia"/>
          <w:b/>
          <w:bCs/>
          <w:spacing w:val="-7"/>
          <w:lang w:eastAsia="zh-CN"/>
        </w:rPr>
        <w:t>第三节 处理方案</w:t>
      </w:r>
      <w:bookmarkEnd w:id="115"/>
    </w:p>
    <w:p w14:paraId="673EF948">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（一）工程渣土</w:t>
      </w:r>
    </w:p>
    <w:p w14:paraId="75EE1E8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工程渣土具有产生量大、波动性强的特征，可利用途径多，市场有自行消纳出路等特征。今后随着夹江县地下空间开发强度的增加，将进一步增加施工单位面积工程渣土产量。而其利用途径包括坑塘废弃砖瓦窑厂等低洼地回填、道路工程回填等，但在回填利用方面存在时间上的矛盾。</w:t>
      </w:r>
    </w:p>
    <w:p w14:paraId="4B1676B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针对此特征，为有效解决夹江县工程渣土利用途径，规划需提供调配通道，借助信息化平台提供工程渣土供需信息。</w:t>
      </w:r>
    </w:p>
    <w:p w14:paraId="37D60C0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同时，在传统回填利用的基础上，规划拓展工程渣土利用的新途径，包括堆山造景、结合防洪规划抬高整体标高等。</w:t>
      </w:r>
    </w:p>
    <w:p w14:paraId="29971F9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（二）拆迁垃圾和工程垃圾</w:t>
      </w:r>
    </w:p>
    <w:p w14:paraId="25A3913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拆迁废料和工程垃圾最主要的特征为产量可控、可资源化利用成分高，95%的以上成分可用于生产再生建材，具备再利用的经济效益。</w:t>
      </w:r>
    </w:p>
    <w:p w14:paraId="0F05B429">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而夹江县目前在建筑垃圾资源化利用方面较为薄弱，部分工程垃圾和拆迁废料用于生产再生建材，而大部分直接用于回填，或经社会化公司采用简单破碎设备破碎使用，资源化利用程度较低。</w:t>
      </w:r>
    </w:p>
    <w:p w14:paraId="68DD3493">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规划夹江县应建设集中的资源化利用设施，发挥规模化效应，提高设施、设备的规范性、环保性，对拆迁废料和工程垃圾进行集中资源化利用。</w:t>
      </w:r>
    </w:p>
    <w:p w14:paraId="0936E7A3">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（三）装修垃圾</w:t>
      </w:r>
    </w:p>
    <w:p w14:paraId="1A6111D6">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装</w:t>
      </w:r>
      <w:r>
        <w:rPr>
          <w:rFonts w:hint="eastAsia" w:ascii="宋体" w:hAnsi="宋体" w:eastAsia="宋体" w:cs="宋体"/>
          <w:spacing w:val="-1"/>
          <w:sz w:val="24"/>
          <w:szCs w:val="24"/>
          <w:lang w:val="en-US" w:eastAsia="zh-CN"/>
        </w:rPr>
        <w:t>修</w:t>
      </w:r>
      <w:r>
        <w:rPr>
          <w:rFonts w:hint="eastAsia" w:ascii="宋体" w:hAnsi="宋体" w:eastAsia="宋体" w:cs="宋体"/>
          <w:spacing w:val="-1"/>
          <w:sz w:val="24"/>
          <w:szCs w:val="24"/>
          <w:lang w:eastAsia="zh-CN"/>
        </w:rPr>
        <w:t>垃圾为居民、店铺、办公装修过程产生，呈现产生源分散、且迁移频繁的特征，同时成分复杂，质量差，不可直接利用，需要进行分选，处理成本高。</w:t>
      </w:r>
    </w:p>
    <w:p w14:paraId="18F60C5F">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针对此问题，规划从以下三方面提供装修垃圾的处理思路。</w:t>
      </w:r>
    </w:p>
    <w:p w14:paraId="324552E2">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（1）完善前端装修垃圾收集点设置，一方面新建居住小区均应设置装修垃圾临时堆放点，另一方面，政府设置相对集中的临时堆放点，用于老旧小区、公共区域等不具备设置临时堆放点的装修垃圾的集中堆放。</w:t>
      </w:r>
    </w:p>
    <w:p w14:paraId="28896EB0">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（2）规划新增的建筑垃圾资源化利用设施，应具有装修垃圾处理能力，应用机械分选、智能分选等方式提高装修垃圾资源化利用水平减少填埋侵占土地。</w:t>
      </w:r>
    </w:p>
    <w:p w14:paraId="3A35BB0C">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（3）对分拣后无法进行再利用的部分，设置规范的建筑垃圾填埋场进行处置。</w:t>
      </w:r>
    </w:p>
    <w:p w14:paraId="51356AC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4）针对成本高的问题，第一，完善装修垃圾处理收费制度，产生单位在缴纳装修垃圾清运费的同时还需承担处理费用；第二，政府研究补贴机制，对处理企业按量补贴；第三，由拆迁垃圾和工程垃圾处理企业处理装修垃圾，本身也可通过拆迁垃圾和工程垃圾的盈利进行平衡。</w:t>
      </w:r>
    </w:p>
    <w:p w14:paraId="09901413">
      <w:pPr>
        <w:pStyle w:val="8"/>
        <w:spacing w:before="182" w:line="360" w:lineRule="auto"/>
        <w:ind w:left="28" w:right="79" w:firstLine="574" w:firstLineChars="200"/>
        <w:outlineLvl w:val="1"/>
        <w:rPr>
          <w:rFonts w:hint="eastAsia"/>
          <w:b/>
          <w:bCs/>
          <w:spacing w:val="-7"/>
          <w:lang w:eastAsia="zh-CN"/>
        </w:rPr>
      </w:pPr>
      <w:bookmarkStart w:id="116" w:name="bookmark189"/>
      <w:bookmarkEnd w:id="116"/>
      <w:bookmarkStart w:id="117" w:name="_Toc186468129"/>
      <w:r>
        <w:rPr>
          <w:rFonts w:hint="eastAsia"/>
          <w:b/>
          <w:bCs/>
          <w:spacing w:val="-7"/>
          <w:lang w:eastAsia="zh-CN"/>
        </w:rPr>
        <w:t xml:space="preserve">第四节 </w:t>
      </w:r>
      <w:r>
        <w:rPr>
          <w:b/>
          <w:bCs/>
          <w:spacing w:val="-7"/>
          <w:lang w:eastAsia="zh-CN"/>
        </w:rPr>
        <w:t>资源化利用设施规划</w:t>
      </w:r>
      <w:bookmarkEnd w:id="117"/>
    </w:p>
    <w:p w14:paraId="14653575">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目前，夹江县建材工业虽然得到了长足的发展，但资源综合利用水平低。根据初步调查，夹江县境内共有建筑陶瓷生产厂100余家，窑炉废渣废料数量巨大。大量废渣废料的堆积，不但占用了宝贵的土地资源，也造成对环境的污染。</w:t>
      </w:r>
    </w:p>
    <w:p w14:paraId="09C0915D">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为了有效利用夹江县陶瓷工业窑炉废渣废料资源，夹江县峨威水泥有限公司在土门乡万福村一组扩建一条年产60万吨复合水泥粉磨站，该项目每年可利用陶瓷工业废渣及废料约20万吨，有利于地方资源的综合利用和环境保护，故此具有良好的社会效益和明显的项目建设必要性。</w:t>
      </w:r>
    </w:p>
    <w:p w14:paraId="2F1CA6F2">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目前，项目正筹划扩建，总投资2000万元。项目扩建完成后可利用一般固废（燃煤炉渣、建筑垃圾、硅质渣）36万吨，扩建完成后全厂年产120万吨水泥。实现了固废资源化，满足乐山市“无废城市”建设实施方案。</w:t>
      </w:r>
      <w:bookmarkStart w:id="118" w:name="_Hlk186123362"/>
    </w:p>
    <w:p w14:paraId="7A3CBD3A">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夹江县峨威水泥有限公司水泥粉磨站节能减排技改扩能项目</w:t>
      </w:r>
      <w:bookmarkEnd w:id="118"/>
      <w:r>
        <w:rPr>
          <w:rFonts w:hint="eastAsia" w:ascii="宋体" w:hAnsi="宋体" w:eastAsia="宋体" w:cs="宋体"/>
          <w:spacing w:val="-1"/>
          <w:sz w:val="24"/>
          <w:szCs w:val="24"/>
          <w:lang w:eastAsia="zh-CN"/>
        </w:rPr>
        <w:t>工艺流程如下：</w:t>
      </w:r>
    </w:p>
    <w:p w14:paraId="6397AD67">
      <w:pPr>
        <w:spacing w:line="360" w:lineRule="auto"/>
        <w:rPr>
          <w:rFonts w:hint="eastAsia" w:ascii="宋体" w:hAnsi="宋体" w:eastAsia="宋体" w:cs="宋体"/>
          <w:spacing w:val="-1"/>
          <w:sz w:val="24"/>
          <w:szCs w:val="24"/>
          <w:lang w:eastAsia="zh-CN"/>
        </w:rPr>
      </w:pPr>
      <w:r>
        <w:drawing>
          <wp:anchor distT="0" distB="0" distL="114300" distR="114300" simplePos="0" relativeHeight="251680768" behindDoc="1" locked="0" layoutInCell="1" allowOverlap="1">
            <wp:simplePos x="0" y="0"/>
            <wp:positionH relativeFrom="column">
              <wp:posOffset>-47625</wp:posOffset>
            </wp:positionH>
            <wp:positionV relativeFrom="paragraph">
              <wp:posOffset>101600</wp:posOffset>
            </wp:positionV>
            <wp:extent cx="5581015" cy="6176010"/>
            <wp:effectExtent l="0" t="0" r="635" b="0"/>
            <wp:wrapTight wrapText="bothSides">
              <wp:wrapPolygon>
                <wp:start x="0" y="0"/>
                <wp:lineTo x="0" y="21520"/>
                <wp:lineTo x="21529" y="21520"/>
                <wp:lineTo x="21529" y="0"/>
                <wp:lineTo x="0" y="0"/>
              </wp:wrapPolygon>
            </wp:wrapTight>
            <wp:docPr id="57533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038"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81015" cy="6176010"/>
                    </a:xfrm>
                    <a:prstGeom prst="rect">
                      <a:avLst/>
                    </a:prstGeom>
                  </pic:spPr>
                </pic:pic>
              </a:graphicData>
            </a:graphic>
          </wp:anchor>
        </w:drawing>
      </w:r>
      <w:r>
        <w:rPr>
          <w:rFonts w:ascii="宋体" w:hAnsi="宋体" w:eastAsia="宋体"/>
          <w:b/>
          <w:bCs/>
          <w:spacing w:val="-5"/>
          <w:sz w:val="24"/>
          <w:szCs w:val="24"/>
          <w:lang w:eastAsia="zh-CN"/>
        </w:rPr>
        <w:t>工艺流程简述：</w:t>
      </w:r>
    </w:p>
    <w:p w14:paraId="5303C0E8">
      <w:pPr>
        <w:spacing w:line="360" w:lineRule="auto"/>
        <w:ind w:firstLine="480"/>
        <w:rPr>
          <w:rFonts w:hint="eastAsia" w:ascii="宋体" w:hAnsi="宋体" w:eastAsia="宋体"/>
          <w:b/>
          <w:bCs/>
          <w:spacing w:val="-5"/>
          <w:sz w:val="24"/>
          <w:szCs w:val="24"/>
          <w:lang w:eastAsia="zh-CN"/>
        </w:rPr>
      </w:pPr>
      <w:r>
        <w:rPr>
          <w:rFonts w:ascii="宋体" w:hAnsi="宋体" w:eastAsia="宋体"/>
          <w:b/>
          <w:bCs/>
          <w:spacing w:val="-5"/>
          <w:sz w:val="24"/>
          <w:szCs w:val="24"/>
          <w:lang w:eastAsia="zh-CN"/>
        </w:rPr>
        <w:t xml:space="preserve">（1）原料进厂 </w:t>
      </w:r>
    </w:p>
    <w:p w14:paraId="520C5CC5">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t>项目</w:t>
      </w:r>
      <w:r>
        <w:rPr>
          <w:rFonts w:hint="eastAsia" w:ascii="宋体" w:hAnsi="宋体" w:eastAsia="宋体" w:cs="宋体"/>
          <w:spacing w:val="-1"/>
          <w:sz w:val="24"/>
          <w:szCs w:val="24"/>
          <w:lang w:eastAsia="zh-CN"/>
        </w:rPr>
        <w:t>燃煤炉渣、脱硫石膏、建筑垃圾、熟料、石灰石、硅质渣和助磨剂</w:t>
      </w:r>
      <w:r>
        <w:rPr>
          <w:rFonts w:ascii="宋体" w:hAnsi="宋体" w:eastAsia="宋体" w:cs="宋体"/>
          <w:spacing w:val="-1"/>
          <w:sz w:val="24"/>
          <w:szCs w:val="24"/>
          <w:lang w:eastAsia="zh-CN"/>
        </w:rPr>
        <w:t>均采取汽车运输进厂</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物料汽车运输进厂会产生车辆尾气、扬尘等废气。</w:t>
      </w:r>
    </w:p>
    <w:p w14:paraId="28D4E722">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（2）破碎系统</w:t>
      </w:r>
    </w:p>
    <w:p w14:paraId="0AB3BA47">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系统使用的</w:t>
      </w:r>
      <w:r>
        <w:rPr>
          <w:rFonts w:ascii="宋体" w:hAnsi="宋体" w:eastAsia="宋体" w:cs="宋体"/>
          <w:spacing w:val="-1"/>
          <w:sz w:val="24"/>
          <w:szCs w:val="24"/>
          <w:lang w:eastAsia="zh-CN"/>
        </w:rPr>
        <w:t>石膏、建筑垃圾</w:t>
      </w:r>
      <w:r>
        <w:rPr>
          <w:rFonts w:hint="eastAsia" w:ascii="宋体" w:hAnsi="宋体" w:eastAsia="宋体" w:cs="宋体"/>
          <w:spacing w:val="-1"/>
          <w:sz w:val="24"/>
          <w:szCs w:val="24"/>
          <w:lang w:eastAsia="zh-CN"/>
        </w:rPr>
        <w:t>需先经破碎才可使用</w:t>
      </w:r>
      <w:r>
        <w:rPr>
          <w:rFonts w:ascii="宋体" w:hAnsi="宋体" w:eastAsia="宋体" w:cs="宋体"/>
          <w:spacing w:val="-1"/>
          <w:sz w:val="24"/>
          <w:szCs w:val="24"/>
          <w:lang w:eastAsia="zh-CN"/>
        </w:rPr>
        <w:t>，</w:t>
      </w:r>
      <w:r>
        <w:rPr>
          <w:rFonts w:hint="eastAsia" w:ascii="宋体" w:hAnsi="宋体" w:eastAsia="宋体" w:cs="宋体"/>
          <w:spacing w:val="-1"/>
          <w:sz w:val="24"/>
          <w:szCs w:val="24"/>
          <w:lang w:eastAsia="zh-CN"/>
        </w:rPr>
        <w:t>使用破碎系统对其</w:t>
      </w:r>
      <w:r>
        <w:rPr>
          <w:rFonts w:ascii="宋体" w:hAnsi="宋体" w:eastAsia="宋体" w:cs="宋体"/>
          <w:spacing w:val="-1"/>
          <w:sz w:val="24"/>
          <w:szCs w:val="24"/>
          <w:lang w:eastAsia="zh-CN"/>
        </w:rPr>
        <w:t>破碎。</w:t>
      </w:r>
      <w:r>
        <w:rPr>
          <w:rFonts w:hint="eastAsia" w:ascii="宋体" w:hAnsi="宋体" w:eastAsia="宋体" w:cs="宋体"/>
          <w:spacing w:val="-1"/>
          <w:sz w:val="24"/>
          <w:szCs w:val="24"/>
          <w:lang w:eastAsia="zh-CN"/>
        </w:rPr>
        <w:t>破碎系统设置冲击破碎机、六九鄂式破碎机、振动筛、反击破、传送带、选粉机等。</w:t>
      </w:r>
    </w:p>
    <w:p w14:paraId="5A77ECF7">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（3）水泥调配</w:t>
      </w:r>
    </w:p>
    <w:p w14:paraId="45CAAA0E">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熟料、炉渣及破碎后的石膏、建筑垃圾分别送至配料库中熟料仓、炉渣仓、石膏仓和建筑垃圾仓暂存。生产时，各原料分别经仓底给料机计量后与计量后的助磨剂混合后由皮带输送机送至水泥粉磨车间。</w:t>
      </w:r>
    </w:p>
    <w:p w14:paraId="0AEAB6BA">
      <w:pPr>
        <w:spacing w:line="360" w:lineRule="auto"/>
        <w:ind w:firstLine="480"/>
        <w:rPr>
          <w:rFonts w:hint="eastAsia" w:ascii="宋体" w:hAnsi="宋体" w:eastAsia="宋体"/>
          <w:b/>
          <w:bCs/>
          <w:spacing w:val="-5"/>
          <w:sz w:val="24"/>
          <w:szCs w:val="24"/>
          <w:lang w:eastAsia="zh-CN"/>
        </w:rPr>
      </w:pPr>
      <w:r>
        <w:rPr>
          <w:rFonts w:ascii="宋体" w:hAnsi="宋体" w:eastAsia="宋体"/>
          <w:b/>
          <w:bCs/>
          <w:spacing w:val="-5"/>
          <w:sz w:val="24"/>
          <w:szCs w:val="24"/>
          <w:lang w:eastAsia="zh-CN"/>
        </w:rPr>
        <w:t>（4）水泥粉磨</w:t>
      </w:r>
    </w:p>
    <w:p w14:paraId="6970B6AA">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fldChar w:fldCharType="begin"/>
      </w:r>
      <w:r>
        <w:rPr>
          <w:rFonts w:ascii="宋体" w:hAnsi="宋体" w:eastAsia="宋体" w:cs="宋体"/>
          <w:spacing w:val="-1"/>
          <w:sz w:val="24"/>
          <w:szCs w:val="24"/>
          <w:lang w:eastAsia="zh-CN"/>
        </w:rPr>
        <w:instrText xml:space="preserve"> </w:instrText>
      </w:r>
      <w:r>
        <w:rPr>
          <w:rFonts w:hint="eastAsia" w:ascii="宋体" w:hAnsi="宋体" w:eastAsia="宋体" w:cs="宋体"/>
          <w:spacing w:val="-1"/>
          <w:sz w:val="24"/>
          <w:szCs w:val="24"/>
          <w:lang w:eastAsia="zh-CN"/>
        </w:rPr>
        <w:instrText xml:space="preserve">= 1 \* GB3</w:instrText>
      </w:r>
      <w:r>
        <w:rPr>
          <w:rFonts w:ascii="宋体" w:hAnsi="宋体" w:eastAsia="宋体" w:cs="宋体"/>
          <w:spacing w:val="-1"/>
          <w:sz w:val="24"/>
          <w:szCs w:val="24"/>
          <w:lang w:eastAsia="zh-CN"/>
        </w:rPr>
        <w:instrText xml:space="preserve"> </w:instrText>
      </w:r>
      <w:r>
        <w:rPr>
          <w:rFonts w:ascii="宋体" w:hAnsi="宋体" w:eastAsia="宋体" w:cs="宋体"/>
          <w:spacing w:val="-1"/>
          <w:sz w:val="24"/>
          <w:szCs w:val="24"/>
          <w:lang w:eastAsia="zh-CN"/>
        </w:rPr>
        <w:fldChar w:fldCharType="separate"/>
      </w:r>
      <w:r>
        <w:rPr>
          <w:rFonts w:hint="eastAsia" w:ascii="宋体" w:hAnsi="宋体" w:eastAsia="宋体" w:cs="宋体"/>
          <w:spacing w:val="-1"/>
          <w:sz w:val="24"/>
          <w:szCs w:val="24"/>
          <w:lang w:eastAsia="zh-CN"/>
        </w:rPr>
        <w:t>①</w:t>
      </w:r>
      <w:r>
        <w:rPr>
          <w:rFonts w:ascii="宋体" w:hAnsi="宋体" w:eastAsia="宋体" w:cs="宋体"/>
          <w:spacing w:val="-1"/>
          <w:sz w:val="24"/>
          <w:szCs w:val="24"/>
          <w:lang w:eastAsia="zh-CN"/>
        </w:rPr>
        <w:fldChar w:fldCharType="end"/>
      </w:r>
      <w:r>
        <w:rPr>
          <w:rFonts w:ascii="宋体" w:hAnsi="宋体" w:eastAsia="宋体" w:cs="宋体"/>
          <w:spacing w:val="-1"/>
          <w:sz w:val="24"/>
          <w:szCs w:val="24"/>
          <w:lang w:eastAsia="zh-CN"/>
        </w:rPr>
        <w:t>辊压、一次选粉：</w:t>
      </w:r>
      <w:r>
        <w:rPr>
          <w:rFonts w:hint="eastAsia" w:ascii="宋体" w:hAnsi="宋体" w:eastAsia="宋体" w:cs="宋体"/>
          <w:spacing w:val="-1"/>
          <w:sz w:val="24"/>
          <w:szCs w:val="24"/>
          <w:lang w:eastAsia="zh-CN"/>
        </w:rPr>
        <w:t>计量</w:t>
      </w:r>
      <w:r>
        <w:rPr>
          <w:rFonts w:ascii="宋体" w:hAnsi="宋体" w:eastAsia="宋体" w:cs="宋体"/>
          <w:spacing w:val="-1"/>
          <w:sz w:val="24"/>
          <w:szCs w:val="24"/>
          <w:lang w:eastAsia="zh-CN"/>
        </w:rPr>
        <w:t>车间物料经提升机进入辊压机内，被辊压机挤压研磨，辊压机挤压后的物料经提升机送入选粉机内风选（第一次选粉），</w:t>
      </w:r>
      <w:r>
        <w:rPr>
          <w:rFonts w:hint="eastAsia" w:ascii="宋体" w:hAnsi="宋体" w:eastAsia="宋体" w:cs="宋体"/>
          <w:spacing w:val="-1"/>
          <w:sz w:val="24"/>
          <w:szCs w:val="24"/>
          <w:lang w:eastAsia="zh-CN"/>
        </w:rPr>
        <w:t>粒径小于45um的物料直接进入成品库，粒径大于等于45um的</w:t>
      </w:r>
      <w:r>
        <w:rPr>
          <w:rFonts w:ascii="宋体" w:hAnsi="宋体" w:eastAsia="宋体" w:cs="宋体"/>
          <w:spacing w:val="-1"/>
          <w:sz w:val="24"/>
          <w:szCs w:val="24"/>
          <w:lang w:eastAsia="zh-CN"/>
        </w:rPr>
        <w:t>物料返回辊压机再次挤压研磨</w:t>
      </w:r>
      <w:r>
        <w:rPr>
          <w:rFonts w:hint="eastAsia" w:ascii="宋体" w:hAnsi="宋体" w:eastAsia="宋体" w:cs="宋体"/>
          <w:spacing w:val="-1"/>
          <w:sz w:val="24"/>
          <w:szCs w:val="24"/>
          <w:lang w:eastAsia="zh-CN"/>
        </w:rPr>
        <w:t>，然后进入</w:t>
      </w:r>
      <w:r>
        <w:rPr>
          <w:rFonts w:ascii="宋体" w:hAnsi="宋体" w:eastAsia="宋体" w:cs="宋体"/>
          <w:spacing w:val="-1"/>
          <w:sz w:val="24"/>
          <w:szCs w:val="24"/>
          <w:lang w:eastAsia="zh-CN"/>
        </w:rPr>
        <w:t>球磨机继续研磨。提升机、辊压机和选粉机均密闭，该过程会产生</w:t>
      </w:r>
      <w:r>
        <w:rPr>
          <w:rFonts w:hint="eastAsia" w:ascii="宋体" w:hAnsi="宋体" w:eastAsia="宋体" w:cs="宋体"/>
          <w:spacing w:val="-1"/>
          <w:sz w:val="24"/>
          <w:szCs w:val="24"/>
          <w:lang w:eastAsia="zh-CN"/>
        </w:rPr>
        <w:t>提升机</w:t>
      </w:r>
      <w:r>
        <w:rPr>
          <w:rFonts w:ascii="宋体" w:hAnsi="宋体" w:eastAsia="宋体" w:cs="宋体"/>
          <w:spacing w:val="-1"/>
          <w:sz w:val="24"/>
          <w:szCs w:val="24"/>
          <w:lang w:eastAsia="zh-CN"/>
        </w:rPr>
        <w:t>落料粉尘G</w:t>
      </w:r>
      <w:r>
        <w:rPr>
          <w:rFonts w:hint="eastAsia" w:ascii="宋体" w:hAnsi="宋体" w:eastAsia="宋体" w:cs="宋体"/>
          <w:spacing w:val="-1"/>
          <w:sz w:val="24"/>
          <w:szCs w:val="24"/>
          <w:lang w:eastAsia="zh-CN"/>
        </w:rPr>
        <w:t>4</w:t>
      </w:r>
      <w:r>
        <w:rPr>
          <w:rFonts w:ascii="宋体" w:hAnsi="宋体" w:eastAsia="宋体" w:cs="宋体"/>
          <w:spacing w:val="-1"/>
          <w:sz w:val="24"/>
          <w:szCs w:val="24"/>
          <w:lang w:eastAsia="zh-CN"/>
        </w:rPr>
        <w:t>、辊压粉尘G</w:t>
      </w:r>
      <w:r>
        <w:rPr>
          <w:rFonts w:hint="eastAsia" w:ascii="宋体" w:hAnsi="宋体" w:eastAsia="宋体" w:cs="宋体"/>
          <w:spacing w:val="-1"/>
          <w:sz w:val="24"/>
          <w:szCs w:val="24"/>
          <w:lang w:eastAsia="zh-CN"/>
        </w:rPr>
        <w:t>5</w:t>
      </w:r>
      <w:r>
        <w:rPr>
          <w:rFonts w:ascii="宋体" w:hAnsi="宋体" w:eastAsia="宋体" w:cs="宋体"/>
          <w:spacing w:val="-1"/>
          <w:sz w:val="24"/>
          <w:szCs w:val="24"/>
          <w:lang w:eastAsia="zh-CN"/>
        </w:rPr>
        <w:t>、一次选粉粉尘G</w:t>
      </w:r>
      <w:r>
        <w:rPr>
          <w:rFonts w:hint="eastAsia" w:ascii="宋体" w:hAnsi="宋体" w:eastAsia="宋体" w:cs="宋体"/>
          <w:spacing w:val="-1"/>
          <w:sz w:val="24"/>
          <w:szCs w:val="24"/>
          <w:lang w:eastAsia="zh-CN"/>
        </w:rPr>
        <w:t>6</w:t>
      </w:r>
      <w:r>
        <w:rPr>
          <w:rFonts w:ascii="宋体" w:hAnsi="宋体" w:eastAsia="宋体" w:cs="宋体"/>
          <w:spacing w:val="-1"/>
          <w:sz w:val="24"/>
          <w:szCs w:val="24"/>
          <w:lang w:eastAsia="zh-CN"/>
        </w:rPr>
        <w:t>。</w:t>
      </w:r>
    </w:p>
    <w:p w14:paraId="241C8155">
      <w:pPr>
        <w:spacing w:line="360" w:lineRule="auto"/>
        <w:ind w:firstLine="480"/>
        <w:rPr>
          <w:rFonts w:hint="eastAsia" w:ascii="宋体" w:hAnsi="宋体" w:eastAsia="宋体" w:cs="宋体"/>
          <w:spacing w:val="-1"/>
          <w:sz w:val="24"/>
          <w:szCs w:val="24"/>
          <w:lang w:eastAsia="zh-CN"/>
        </w:rPr>
      </w:pPr>
      <w:r>
        <w:rPr>
          <w:rFonts w:ascii="宋体" w:hAnsi="宋体" w:eastAsia="宋体" w:cs="宋体"/>
          <w:spacing w:val="-1"/>
          <w:sz w:val="24"/>
          <w:szCs w:val="24"/>
          <w:lang w:eastAsia="zh-CN"/>
        </w:rPr>
        <w:fldChar w:fldCharType="begin"/>
      </w:r>
      <w:r>
        <w:rPr>
          <w:rFonts w:ascii="宋体" w:hAnsi="宋体" w:eastAsia="宋体" w:cs="宋体"/>
          <w:spacing w:val="-1"/>
          <w:sz w:val="24"/>
          <w:szCs w:val="24"/>
          <w:lang w:eastAsia="zh-CN"/>
        </w:rPr>
        <w:instrText xml:space="preserve"> </w:instrText>
      </w:r>
      <w:r>
        <w:rPr>
          <w:rFonts w:hint="eastAsia" w:ascii="宋体" w:hAnsi="宋体" w:eastAsia="宋体" w:cs="宋体"/>
          <w:spacing w:val="-1"/>
          <w:sz w:val="24"/>
          <w:szCs w:val="24"/>
          <w:lang w:eastAsia="zh-CN"/>
        </w:rPr>
        <w:instrText xml:space="preserve">= 2 \* GB3</w:instrText>
      </w:r>
      <w:r>
        <w:rPr>
          <w:rFonts w:ascii="宋体" w:hAnsi="宋体" w:eastAsia="宋体" w:cs="宋体"/>
          <w:spacing w:val="-1"/>
          <w:sz w:val="24"/>
          <w:szCs w:val="24"/>
          <w:lang w:eastAsia="zh-CN"/>
        </w:rPr>
        <w:instrText xml:space="preserve"> </w:instrText>
      </w:r>
      <w:r>
        <w:rPr>
          <w:rFonts w:ascii="宋体" w:hAnsi="宋体" w:eastAsia="宋体" w:cs="宋体"/>
          <w:spacing w:val="-1"/>
          <w:sz w:val="24"/>
          <w:szCs w:val="24"/>
          <w:lang w:eastAsia="zh-CN"/>
        </w:rPr>
        <w:fldChar w:fldCharType="separate"/>
      </w:r>
      <w:r>
        <w:rPr>
          <w:rFonts w:hint="eastAsia" w:ascii="宋体" w:hAnsi="宋体" w:eastAsia="宋体" w:cs="宋体"/>
          <w:spacing w:val="-1"/>
          <w:sz w:val="24"/>
          <w:szCs w:val="24"/>
          <w:lang w:eastAsia="zh-CN"/>
        </w:rPr>
        <w:t>②</w:t>
      </w:r>
      <w:r>
        <w:rPr>
          <w:rFonts w:ascii="宋体" w:hAnsi="宋体" w:eastAsia="宋体" w:cs="宋体"/>
          <w:spacing w:val="-1"/>
          <w:sz w:val="24"/>
          <w:szCs w:val="24"/>
          <w:lang w:eastAsia="zh-CN"/>
        </w:rPr>
        <w:fldChar w:fldCharType="end"/>
      </w:r>
      <w:r>
        <w:rPr>
          <w:rFonts w:ascii="宋体" w:hAnsi="宋体" w:eastAsia="宋体" w:cs="宋体"/>
          <w:spacing w:val="-1"/>
          <w:sz w:val="24"/>
          <w:szCs w:val="24"/>
          <w:lang w:eastAsia="zh-CN"/>
        </w:rPr>
        <w:t>球磨、</w:t>
      </w:r>
      <w:r>
        <w:rPr>
          <w:rFonts w:hint="eastAsia" w:ascii="宋体" w:hAnsi="宋体" w:eastAsia="宋体" w:cs="宋体"/>
          <w:spacing w:val="-1"/>
          <w:sz w:val="24"/>
          <w:szCs w:val="24"/>
          <w:lang w:eastAsia="zh-CN"/>
        </w:rPr>
        <w:t>二次</w:t>
      </w:r>
      <w:r>
        <w:rPr>
          <w:rFonts w:ascii="宋体" w:hAnsi="宋体" w:eastAsia="宋体" w:cs="宋体"/>
          <w:spacing w:val="-1"/>
          <w:sz w:val="24"/>
          <w:szCs w:val="24"/>
          <w:lang w:eastAsia="zh-CN"/>
        </w:rPr>
        <w:t>选粉：</w:t>
      </w:r>
      <w:r>
        <w:rPr>
          <w:rFonts w:hint="eastAsia" w:ascii="宋体" w:hAnsi="宋体" w:eastAsia="宋体" w:cs="宋体"/>
          <w:spacing w:val="-1"/>
          <w:sz w:val="24"/>
          <w:szCs w:val="24"/>
          <w:lang w:eastAsia="zh-CN"/>
        </w:rPr>
        <w:t>一次</w:t>
      </w:r>
      <w:r>
        <w:rPr>
          <w:rFonts w:ascii="宋体" w:hAnsi="宋体" w:eastAsia="宋体" w:cs="宋体"/>
          <w:spacing w:val="-1"/>
          <w:sz w:val="24"/>
          <w:szCs w:val="24"/>
          <w:lang w:eastAsia="zh-CN"/>
        </w:rPr>
        <w:t>选粉后的</w:t>
      </w:r>
      <w:r>
        <w:rPr>
          <w:rFonts w:hint="eastAsia" w:ascii="宋体" w:hAnsi="宋体" w:eastAsia="宋体" w:cs="宋体"/>
          <w:spacing w:val="-1"/>
          <w:sz w:val="24"/>
          <w:szCs w:val="24"/>
          <w:lang w:eastAsia="zh-CN"/>
        </w:rPr>
        <w:t>粗</w:t>
      </w:r>
      <w:r>
        <w:rPr>
          <w:rFonts w:ascii="宋体" w:hAnsi="宋体" w:eastAsia="宋体" w:cs="宋体"/>
          <w:spacing w:val="-1"/>
          <w:sz w:val="24"/>
          <w:szCs w:val="24"/>
          <w:lang w:eastAsia="zh-CN"/>
        </w:rPr>
        <w:t>物料</w:t>
      </w:r>
      <w:r>
        <w:rPr>
          <w:rFonts w:hint="eastAsia" w:ascii="宋体" w:hAnsi="宋体" w:eastAsia="宋体" w:cs="宋体"/>
          <w:spacing w:val="-1"/>
          <w:sz w:val="24"/>
          <w:szCs w:val="24"/>
          <w:lang w:eastAsia="zh-CN"/>
        </w:rPr>
        <w:t>返回辊压机</w:t>
      </w:r>
      <w:r>
        <w:rPr>
          <w:rFonts w:ascii="宋体" w:hAnsi="宋体" w:eastAsia="宋体" w:cs="宋体"/>
          <w:spacing w:val="-1"/>
          <w:sz w:val="24"/>
          <w:szCs w:val="24"/>
          <w:lang w:eastAsia="zh-CN"/>
        </w:rPr>
        <w:t>再次挤压研磨</w:t>
      </w:r>
      <w:r>
        <w:rPr>
          <w:rFonts w:hint="eastAsia" w:ascii="宋体" w:hAnsi="宋体" w:eastAsia="宋体" w:cs="宋体"/>
          <w:spacing w:val="-1"/>
          <w:sz w:val="24"/>
          <w:szCs w:val="24"/>
          <w:lang w:eastAsia="zh-CN"/>
        </w:rPr>
        <w:t>，然后进入</w:t>
      </w:r>
      <w:r>
        <w:rPr>
          <w:rFonts w:ascii="宋体" w:hAnsi="宋体" w:eastAsia="宋体" w:cs="宋体"/>
          <w:spacing w:val="-1"/>
          <w:sz w:val="24"/>
          <w:szCs w:val="24"/>
          <w:lang w:eastAsia="zh-CN"/>
        </w:rPr>
        <w:t>球磨机继续研磨</w:t>
      </w:r>
      <w:r>
        <w:rPr>
          <w:rFonts w:hint="eastAsia" w:ascii="宋体" w:hAnsi="宋体" w:eastAsia="宋体" w:cs="宋体"/>
          <w:spacing w:val="-1"/>
          <w:sz w:val="24"/>
          <w:szCs w:val="24"/>
          <w:lang w:eastAsia="zh-CN"/>
        </w:rPr>
        <w:t>，</w:t>
      </w:r>
      <w:r>
        <w:rPr>
          <w:rFonts w:ascii="宋体" w:hAnsi="宋体" w:eastAsia="宋体" w:cs="宋体"/>
          <w:spacing w:val="-1"/>
          <w:sz w:val="24"/>
          <w:szCs w:val="24"/>
          <w:lang w:eastAsia="zh-CN"/>
        </w:rPr>
        <w:t>研磨后的物料进入选粉机</w:t>
      </w:r>
      <w:r>
        <w:rPr>
          <w:rFonts w:hint="eastAsia" w:ascii="宋体" w:hAnsi="宋体" w:eastAsia="宋体" w:cs="宋体"/>
          <w:spacing w:val="-1"/>
          <w:sz w:val="24"/>
          <w:szCs w:val="24"/>
          <w:lang w:eastAsia="zh-CN"/>
        </w:rPr>
        <w:t>进行二次</w:t>
      </w:r>
      <w:r>
        <w:rPr>
          <w:rFonts w:ascii="宋体" w:hAnsi="宋体" w:eastAsia="宋体" w:cs="宋体"/>
          <w:spacing w:val="-1"/>
          <w:sz w:val="24"/>
          <w:szCs w:val="24"/>
          <w:lang w:eastAsia="zh-CN"/>
        </w:rPr>
        <w:t>选粉</w:t>
      </w:r>
      <w:r>
        <w:rPr>
          <w:rFonts w:hint="eastAsia" w:ascii="宋体" w:hAnsi="宋体" w:eastAsia="宋体" w:cs="宋体"/>
          <w:spacing w:val="-1"/>
          <w:sz w:val="24"/>
          <w:szCs w:val="24"/>
          <w:lang w:eastAsia="zh-CN"/>
        </w:rPr>
        <w:t>，粒径小于45um的物料直接进入成品库，粒径大于等于45um的</w:t>
      </w:r>
      <w:r>
        <w:rPr>
          <w:rFonts w:ascii="宋体" w:hAnsi="宋体" w:eastAsia="宋体" w:cs="宋体"/>
          <w:spacing w:val="-1"/>
          <w:sz w:val="24"/>
          <w:szCs w:val="24"/>
          <w:lang w:eastAsia="zh-CN"/>
        </w:rPr>
        <w:t>物料返回辊压机再次挤压研磨</w:t>
      </w:r>
      <w:r>
        <w:rPr>
          <w:rFonts w:hint="eastAsia" w:ascii="宋体" w:hAnsi="宋体" w:eastAsia="宋体" w:cs="宋体"/>
          <w:spacing w:val="-1"/>
          <w:sz w:val="24"/>
          <w:szCs w:val="24"/>
          <w:lang w:eastAsia="zh-CN"/>
        </w:rPr>
        <w:t>，然后进入</w:t>
      </w:r>
      <w:r>
        <w:rPr>
          <w:rFonts w:ascii="宋体" w:hAnsi="宋体" w:eastAsia="宋体" w:cs="宋体"/>
          <w:spacing w:val="-1"/>
          <w:sz w:val="24"/>
          <w:szCs w:val="24"/>
          <w:lang w:eastAsia="zh-CN"/>
        </w:rPr>
        <w:t>球磨机</w:t>
      </w:r>
      <w:r>
        <w:rPr>
          <w:rFonts w:hint="eastAsia" w:ascii="宋体" w:hAnsi="宋体" w:eastAsia="宋体" w:cs="宋体"/>
          <w:spacing w:val="-1"/>
          <w:sz w:val="24"/>
          <w:szCs w:val="24"/>
          <w:lang w:eastAsia="zh-CN"/>
        </w:rPr>
        <w:t>球磨后选粉。该过程产生球磨粉尘G7、二次选粉粉尘G8。</w:t>
      </w:r>
    </w:p>
    <w:p w14:paraId="749A7118">
      <w:pPr>
        <w:spacing w:line="360" w:lineRule="auto"/>
        <w:ind w:firstLine="480"/>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粉磨站粉尘经覆膜滤料袋式除尘器处理后由18m高排气筒排放。</w:t>
      </w:r>
    </w:p>
    <w:p w14:paraId="63F1900A">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（5）水泥成品库储存</w:t>
      </w:r>
    </w:p>
    <w:p w14:paraId="325DAB6D">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工艺收尘器收集的</w:t>
      </w:r>
      <w:r>
        <w:rPr>
          <w:rFonts w:ascii="宋体" w:hAnsi="宋体" w:eastAsia="宋体" w:cs="Times New Roman"/>
          <w:sz w:val="24"/>
          <w:szCs w:val="24"/>
          <w:lang w:eastAsia="zh-CN"/>
        </w:rPr>
        <w:t>成品水泥先从成品斜槽输送至入库提升机，水泥经提升机的皮带再送至空气输送斜槽</w:t>
      </w:r>
      <w:r>
        <w:rPr>
          <w:rFonts w:hint="eastAsia" w:ascii="宋体" w:hAnsi="宋体" w:eastAsia="宋体" w:cs="Times New Roman"/>
          <w:sz w:val="24"/>
          <w:szCs w:val="24"/>
          <w:lang w:eastAsia="zh-CN"/>
        </w:rPr>
        <w:t>，经空气输送斜槽送到成品库内储存，此工序产生的污染物主要是水泥入库产生的粉尘G9，经库顶配套的布袋除尘器处理后由30m高排气筒排放。</w:t>
      </w:r>
    </w:p>
    <w:p w14:paraId="55511857">
      <w:pPr>
        <w:spacing w:line="460" w:lineRule="exact"/>
        <w:ind w:firstLine="480" w:firstLineChars="200"/>
        <w:rPr>
          <w:rFonts w:hint="eastAsia" w:ascii="宋体" w:hAnsi="宋体" w:eastAsia="宋体"/>
          <w:sz w:val="24"/>
          <w:szCs w:val="24"/>
          <w:lang w:eastAsia="zh-CN"/>
        </w:rPr>
      </w:pPr>
    </w:p>
    <w:p w14:paraId="12BFE65E">
      <w:pPr>
        <w:spacing w:line="460" w:lineRule="exact"/>
        <w:ind w:firstLine="480" w:firstLineChars="200"/>
        <w:rPr>
          <w:rFonts w:hint="eastAsia" w:ascii="宋体" w:hAnsi="宋体" w:eastAsia="宋体"/>
          <w:sz w:val="24"/>
          <w:szCs w:val="24"/>
          <w:lang w:eastAsia="zh-CN"/>
        </w:rPr>
      </w:pPr>
    </w:p>
    <w:p w14:paraId="33C07E66">
      <w:pPr>
        <w:pStyle w:val="31"/>
        <w:spacing w:before="18" w:line="360" w:lineRule="auto"/>
        <w:ind w:left="54" w:firstLine="339"/>
        <w:rPr>
          <w:rFonts w:hint="eastAsia"/>
          <w:color w:val="auto"/>
          <w:spacing w:val="-2"/>
          <w:sz w:val="24"/>
          <w:szCs w:val="24"/>
          <w:lang w:eastAsia="zh-CN"/>
        </w:rPr>
        <w:sectPr>
          <w:headerReference r:id="rId11" w:type="default"/>
          <w:footerReference r:id="rId12" w:type="default"/>
          <w:pgSz w:w="11907" w:h="16840"/>
          <w:pgMar w:top="1225" w:right="1332" w:bottom="1225" w:left="1786" w:header="850" w:footer="850" w:gutter="0"/>
          <w:pgNumType w:fmt="numberInDash"/>
          <w:cols w:space="720" w:num="1"/>
          <w:docGrid w:linePitch="286" w:charSpace="0"/>
        </w:sectPr>
      </w:pPr>
      <w:bookmarkStart w:id="119" w:name="第七章__污染环境防治管控规划"/>
      <w:bookmarkEnd w:id="119"/>
    </w:p>
    <w:p w14:paraId="1E5E1C04">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120" w:name="_Toc186468130"/>
      <w:r>
        <w:rPr>
          <w:rFonts w:hint="eastAsia"/>
          <w:b/>
          <w:bCs/>
          <w:spacing w:val="-5"/>
          <w:sz w:val="31"/>
          <w:szCs w:val="31"/>
          <w:lang w:eastAsia="zh-CN"/>
        </w:rPr>
        <w:t>第七章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污染环境防治管控规划</w:t>
      </w:r>
      <w:bookmarkEnd w:id="120"/>
    </w:p>
    <w:p w14:paraId="224F8C6F">
      <w:pPr>
        <w:pStyle w:val="8"/>
        <w:spacing w:before="182" w:line="360" w:lineRule="auto"/>
        <w:ind w:left="28" w:right="79" w:firstLine="574" w:firstLineChars="200"/>
        <w:outlineLvl w:val="1"/>
        <w:rPr>
          <w:rFonts w:hint="eastAsia"/>
          <w:b/>
          <w:bCs/>
          <w:spacing w:val="-7"/>
          <w:lang w:eastAsia="zh-CN"/>
        </w:rPr>
      </w:pPr>
      <w:bookmarkStart w:id="121" w:name="bookmark195"/>
      <w:bookmarkEnd w:id="121"/>
      <w:bookmarkStart w:id="122" w:name="_Toc186468131"/>
      <w:r>
        <w:rPr>
          <w:rFonts w:hint="eastAsia"/>
          <w:b/>
          <w:bCs/>
          <w:spacing w:val="-7"/>
          <w:lang w:eastAsia="zh-CN"/>
        </w:rPr>
        <w:t>第一节</w:t>
      </w:r>
      <w:r>
        <w:rPr>
          <w:b/>
          <w:bCs/>
          <w:spacing w:val="-7"/>
          <w:lang w:eastAsia="zh-CN"/>
        </w:rPr>
        <w:t xml:space="preserve"> 管控重点空间</w:t>
      </w:r>
      <w:bookmarkEnd w:id="122"/>
    </w:p>
    <w:p w14:paraId="02AC7D46">
      <w:pPr>
        <w:spacing w:line="360" w:lineRule="auto"/>
        <w:ind w:firstLine="480" w:firstLineChars="200"/>
        <w:rPr>
          <w:rFonts w:ascii="Times New Roman" w:hAnsi="Times New Roman" w:eastAsia="宋体" w:cs="Times New Roman"/>
          <w:sz w:val="24"/>
          <w:szCs w:val="24"/>
          <w:lang w:eastAsia="zh-CN"/>
        </w:rPr>
      </w:pPr>
      <w:bookmarkStart w:id="123" w:name="bookmark199"/>
      <w:bookmarkEnd w:id="123"/>
      <w:bookmarkStart w:id="124" w:name="bookmark205"/>
      <w:bookmarkEnd w:id="124"/>
      <w:bookmarkStart w:id="125" w:name="bookmark197"/>
      <w:bookmarkEnd w:id="125"/>
      <w:r>
        <w:rPr>
          <w:rFonts w:ascii="Times New Roman" w:hAnsi="Times New Roman" w:eastAsia="宋体" w:cs="Times New Roman"/>
          <w:sz w:val="24"/>
          <w:szCs w:val="24"/>
          <w:lang w:eastAsia="zh-CN"/>
        </w:rPr>
        <w:t>建筑垃圾的重点管控点位包括</w:t>
      </w:r>
      <w:r>
        <w:rPr>
          <w:rFonts w:hint="eastAsia" w:ascii="Times New Roman" w:hAnsi="Times New Roman" w:eastAsia="宋体" w:cs="Times New Roman"/>
          <w:sz w:val="24"/>
          <w:szCs w:val="24"/>
          <w:lang w:eastAsia="zh-CN"/>
        </w:rPr>
        <w:t>建筑垃圾收集点、转运场地、资源化处置厂站、消纳填埋场，城市更新区域</w:t>
      </w:r>
      <w:r>
        <w:rPr>
          <w:rFonts w:ascii="Times New Roman" w:hAnsi="Times New Roman" w:eastAsia="宋体" w:cs="Times New Roman"/>
          <w:sz w:val="24"/>
          <w:szCs w:val="24"/>
          <w:lang w:eastAsia="zh-CN"/>
        </w:rPr>
        <w:t>。</w:t>
      </w:r>
    </w:p>
    <w:p w14:paraId="1C9AF602">
      <w:pPr>
        <w:spacing w:line="360" w:lineRule="auto"/>
        <w:ind w:firstLine="480"/>
        <w:rPr>
          <w:rFonts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（一）建筑垃圾收集点</w:t>
      </w:r>
    </w:p>
    <w:p w14:paraId="2B29309E">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对建筑垃圾收集点进行重点管控，</w:t>
      </w:r>
      <w:r>
        <w:rPr>
          <w:rFonts w:ascii="Times New Roman" w:hAnsi="Times New Roman" w:eastAsia="宋体" w:cs="Times New Roman"/>
          <w:sz w:val="24"/>
          <w:szCs w:val="24"/>
          <w:lang w:eastAsia="zh-CN"/>
        </w:rPr>
        <w:t>将装修垃圾分类管理和处置作为推进绿色低碳循环发展的重要举措，不断完善城市管理和服务。补齐装修垃圾分类投放、分类运输和分类处置的短板，规范居民区装修垃圾的运输及处置，打击装修垃圾非法倾倒现象，避免出现因装修垃圾产生的环境污染事件。</w:t>
      </w:r>
    </w:p>
    <w:p w14:paraId="09A4F91D">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（二）建筑垃圾收转运场地</w:t>
      </w:r>
    </w:p>
    <w:p w14:paraId="1269F213">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垃圾中转场是指垃圾经过初次收集后，在其最终处理前的中转节点。它的作用是将垃圾进行分类、压缩和暂时存放，便于后续的运输和处理。垃圾中转场的管理制度是指对中转场的运营、环境保护、安全等方面的管理规定和制度。垃圾中转场管理制度的建立，对保障环境卫生和公共安全、加强垃圾分类和资源回收、提升垃圾处理效率等方面都具有重要意义。</w:t>
      </w:r>
    </w:p>
    <w:p w14:paraId="2C06A301">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目前，由于夹江县建筑垃圾运输距离较短，建筑垃圾直接运输至处理场所进行处理即可。</w:t>
      </w:r>
    </w:p>
    <w:p w14:paraId="01B38740">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（三）资源化处置厂站及建筑垃圾消纳场</w:t>
      </w:r>
    </w:p>
    <w:p w14:paraId="41D3BE8F">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对夹江县的现有的资源化处置厂站级建筑垃圾消纳场进行重点监控，对营运期间产生的粉尘、废气、废水以及对环境的其他影响进行评估、监控，并采取确保达标生产的措施。</w:t>
      </w:r>
    </w:p>
    <w:p w14:paraId="7843603A">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（四）城市更新区域</w:t>
      </w:r>
    </w:p>
    <w:p w14:paraId="41E57CE2">
      <w:pPr>
        <w:spacing w:line="360" w:lineRule="auto"/>
        <w:ind w:firstLine="480" w:firstLineChars="200"/>
        <w:rPr>
          <w:rFonts w:hint="eastAsia" w:ascii="宋体" w:hAnsi="宋体"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lang w:eastAsia="zh-CN"/>
        </w:rPr>
        <w:t>夹江县国土空间总图规划》提出：</w:t>
      </w:r>
      <w:r>
        <w:rPr>
          <w:rFonts w:ascii="宋体" w:hAnsi="宋体" w:eastAsia="宋体" w:cs="Times New Roman"/>
          <w:sz w:val="24"/>
          <w:szCs w:val="24"/>
          <w:lang w:eastAsia="zh-CN"/>
        </w:rPr>
        <w:t>盘活存量用地，重</w:t>
      </w:r>
      <w:r>
        <w:rPr>
          <w:rFonts w:ascii="宋体" w:hAnsi="宋体" w:eastAsia="宋体" w:cs="Times New Roman"/>
          <w:color w:val="FF0000"/>
          <w:sz w:val="24"/>
          <w:szCs w:val="24"/>
          <w:lang w:eastAsia="zh-CN"/>
        </w:rPr>
        <w:t>植</w:t>
      </w:r>
      <w:r>
        <w:rPr>
          <w:rFonts w:ascii="宋体" w:hAnsi="宋体" w:eastAsia="宋体" w:cs="Times New Roman"/>
          <w:sz w:val="24"/>
          <w:szCs w:val="24"/>
          <w:lang w:eastAsia="zh-CN"/>
        </w:rPr>
        <w:t>城市功能，将原闲置低效用地转为城市发展中新的经济增长点。以实施城市更新为抓手，完成东风堰—龙头河沿线地区、建设路地区、站前广场、城北工业地区、老城棚户区等地有机更新工程。启动建设春江路传统活力街区和城南步行街区，着力建设街巷商圈和新兴消费地标。</w:t>
      </w:r>
    </w:p>
    <w:p w14:paraId="255C2636">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因地制宜采用</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微更新</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和</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全面更新</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相结合方式开展城市更新。补齐完善城镇功能，增加绿地和开敞空间。优化城市重点区域形象环境，提升景观廊道和节点。提升城镇风貌，改善城市人居品质。</w:t>
      </w:r>
    </w:p>
    <w:p w14:paraId="1604182A">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根据《乐山市夹江</w:t>
      </w:r>
      <w:r>
        <w:rPr>
          <w:rFonts w:hint="eastAsia" w:ascii="宋体" w:hAnsi="宋体" w:eastAsia="宋体" w:cs="Times New Roman"/>
          <w:sz w:val="24"/>
          <w:szCs w:val="24"/>
          <w:lang w:eastAsia="zh-CN"/>
        </w:rPr>
        <w:t>县2025年城东</w:t>
      </w:r>
      <w:r>
        <w:rPr>
          <w:rFonts w:hint="eastAsia" w:ascii="Times New Roman" w:hAnsi="Times New Roman" w:eastAsia="宋体" w:cs="Times New Roman"/>
          <w:sz w:val="24"/>
          <w:szCs w:val="24"/>
          <w:lang w:eastAsia="zh-CN"/>
        </w:rPr>
        <w:t>片区城中村改造项目》夹江县建筑垃圾环境防治重点区域为主要涉及区域为大学城片区、青衣街道。</w:t>
      </w:r>
    </w:p>
    <w:p w14:paraId="0F136D6A">
      <w:pPr>
        <w:pStyle w:val="8"/>
        <w:spacing w:before="182" w:line="360" w:lineRule="auto"/>
        <w:ind w:left="28" w:right="79" w:firstLine="574" w:firstLineChars="200"/>
        <w:outlineLvl w:val="1"/>
        <w:rPr>
          <w:rFonts w:hint="eastAsia"/>
          <w:b/>
          <w:bCs/>
          <w:spacing w:val="-7"/>
          <w:lang w:eastAsia="zh-CN"/>
        </w:rPr>
      </w:pPr>
      <w:bookmarkStart w:id="126" w:name="bookmark203"/>
      <w:bookmarkEnd w:id="126"/>
      <w:bookmarkStart w:id="127" w:name="_Toc186468132"/>
      <w:r>
        <w:rPr>
          <w:rFonts w:hint="eastAsia"/>
          <w:b/>
          <w:bCs/>
          <w:spacing w:val="-7"/>
          <w:lang w:eastAsia="zh-CN"/>
        </w:rPr>
        <w:t>第二节 管控措施</w:t>
      </w:r>
      <w:bookmarkEnd w:id="127"/>
    </w:p>
    <w:p w14:paraId="14E8A95D">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w:t>
      </w:r>
      <w:r>
        <w:rPr>
          <w:rFonts w:ascii="宋体" w:hAnsi="宋体" w:eastAsia="宋体"/>
          <w:b/>
          <w:bCs/>
          <w:spacing w:val="-5"/>
          <w:sz w:val="24"/>
          <w:szCs w:val="24"/>
          <w:lang w:eastAsia="zh-CN"/>
        </w:rPr>
        <w:t>大气环境影响管控措施</w:t>
      </w:r>
    </w:p>
    <w:p w14:paraId="552D7D1C">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所有建筑垃圾的收运过程必须施行严格的密闭化管理，以防止建筑垃圾粉尘和异味的产生及外逸，确保收运过程中的环境安全；所有参与建筑垃圾运输的车辆需采用尾气排放达标的产品，以减少废气排放，降低对大气的污染。同时，加强对车辆尾气排放的定期检测，确保达标排放；建筑垃圾消纳场周围需设置围挡和覆盖物，以有效防风抑尘。同时，加强进出场口车辆的清洗和道路保洁洒水工作，减少扬尘污染；在建筑垃圾综合利用处理场内，对破碎及筛分等易产生扬尘的环节，需设置集气罩等扬尘控制措施，确保处理过程中的环境安全。</w:t>
      </w:r>
    </w:p>
    <w:p w14:paraId="3122449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w:t>
      </w:r>
      <w:r>
        <w:rPr>
          <w:rFonts w:ascii="宋体" w:hAnsi="宋体" w:eastAsia="宋体"/>
          <w:b/>
          <w:bCs/>
          <w:spacing w:val="-5"/>
          <w:sz w:val="24"/>
          <w:szCs w:val="24"/>
          <w:lang w:eastAsia="zh-CN"/>
        </w:rPr>
        <w:t>水环境影响管控措施</w:t>
      </w:r>
    </w:p>
    <w:p w14:paraId="3A27B732">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建筑垃圾运输车辆清洗废水需经过达标处理后，方可回用于填埋区、道路洒水抑尘等，以实现废水的资源化利用；建筑垃圾消纳场应实行严格的源头分类管理，禁止所有工业固废、有毒有害废弃物等入场或直接填埋，以防止对环境的污染。同时，加强对入场建筑垃圾的检查和监管，确保分类准确、处理合规；建筑垃圾综合利用处理场内产生的生活污水需经过预处理，达到排放标准后，方可接入市政污水系统或回用于厂内绿化、道路洒水等。同时，加强对生活污水预处理设施的运行管理和维护，确保处理效果稳定达标</w:t>
      </w:r>
      <w:r>
        <w:rPr>
          <w:rFonts w:ascii="Times New Roman" w:hAnsi="Times New Roman" w:eastAsia="宋体" w:cs="Times New Roman"/>
          <w:sz w:val="24"/>
          <w:szCs w:val="24"/>
          <w:lang w:eastAsia="zh-CN"/>
        </w:rPr>
        <w:t>。</w:t>
      </w:r>
    </w:p>
    <w:p w14:paraId="2AD07111">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（三）噪声控制措施</w:t>
      </w:r>
    </w:p>
    <w:p w14:paraId="63337F90">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建筑垃圾运输车辆的噪声控制需满足国家相关标准要求，严禁使用高音喇叭等产生高噪声的设备。同时，加强对车辆噪声的定期检测和监管，确保达标排放；在建筑垃圾处置设施中，应优先采用低噪声设备，以减少噪声污染。同时，加强对设备的运行管理和维护，确保设备处于良好的工作状态；在建筑垃圾处置设施周围合理设置绿化带等隔音措施，以减少噪声对周边环境的影响。同时，加强对绿化带的养护和管理，确保其隔音效果持续有效</w:t>
      </w:r>
      <w:r>
        <w:rPr>
          <w:rFonts w:ascii="Times New Roman" w:hAnsi="Times New Roman" w:eastAsia="宋体" w:cs="Times New Roman"/>
          <w:sz w:val="24"/>
          <w:szCs w:val="24"/>
          <w:lang w:eastAsia="zh-CN"/>
        </w:rPr>
        <w:t>。</w:t>
      </w:r>
    </w:p>
    <w:p w14:paraId="03D1AC53">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（四）固体废物控制措施</w:t>
      </w:r>
    </w:p>
    <w:p w14:paraId="4B5961B0">
      <w:pPr>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消纳场固体废物产生的少量生活垃圾可集中收集后定期交环卫部门处理。</w:t>
      </w:r>
    </w:p>
    <w:p w14:paraId="41285F0B">
      <w:pPr>
        <w:pStyle w:val="8"/>
        <w:spacing w:before="182" w:line="360" w:lineRule="auto"/>
        <w:ind w:left="28" w:right="79"/>
        <w:jc w:val="both"/>
        <w:rPr>
          <w:rFonts w:hint="eastAsia"/>
          <w:color w:val="auto"/>
          <w:spacing w:val="-1"/>
          <w:sz w:val="24"/>
          <w:szCs w:val="24"/>
          <w:lang w:eastAsia="zh-CN"/>
        </w:rPr>
      </w:pPr>
    </w:p>
    <w:p w14:paraId="5F2A9B2C">
      <w:pPr>
        <w:pStyle w:val="8"/>
        <w:spacing w:before="182" w:line="360" w:lineRule="auto"/>
        <w:ind w:left="28" w:right="79" w:firstLine="480"/>
        <w:jc w:val="both"/>
        <w:rPr>
          <w:rFonts w:hint="eastAsia"/>
          <w:color w:val="auto"/>
          <w:spacing w:val="-1"/>
          <w:sz w:val="24"/>
          <w:szCs w:val="24"/>
          <w:lang w:eastAsia="zh-CN"/>
        </w:rPr>
        <w:sectPr>
          <w:headerReference r:id="rId13" w:type="default"/>
          <w:footerReference r:id="rId14" w:type="default"/>
          <w:pgSz w:w="11907" w:h="16840"/>
          <w:pgMar w:top="1225" w:right="1332" w:bottom="1225" w:left="1786" w:header="0" w:footer="567" w:gutter="0"/>
          <w:pgNumType w:fmt="numberInDash"/>
          <w:cols w:space="720" w:num="1"/>
          <w:docGrid w:linePitch="286" w:charSpace="0"/>
        </w:sectPr>
      </w:pPr>
    </w:p>
    <w:p w14:paraId="1CA93810">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128" w:name="bookmark209"/>
      <w:bookmarkEnd w:id="128"/>
      <w:bookmarkStart w:id="129" w:name="_Toc186468133"/>
      <w:r>
        <w:rPr>
          <w:rFonts w:hint="eastAsia"/>
          <w:b/>
          <w:bCs/>
          <w:spacing w:val="-5"/>
          <w:sz w:val="31"/>
          <w:szCs w:val="31"/>
          <w:lang w:eastAsia="zh-CN"/>
        </w:rPr>
        <w:t>第八章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管理体系规划</w:t>
      </w:r>
      <w:bookmarkEnd w:id="129"/>
    </w:p>
    <w:p w14:paraId="22D870C5">
      <w:pPr>
        <w:pStyle w:val="8"/>
        <w:spacing w:before="182" w:line="360" w:lineRule="auto"/>
        <w:ind w:left="28" w:right="79" w:firstLine="574" w:firstLineChars="200"/>
        <w:outlineLvl w:val="1"/>
        <w:rPr>
          <w:rFonts w:hint="eastAsia"/>
          <w:b/>
          <w:bCs/>
          <w:spacing w:val="-7"/>
          <w:lang w:eastAsia="zh-CN"/>
        </w:rPr>
      </w:pPr>
      <w:bookmarkStart w:id="130" w:name="bookmark211"/>
      <w:bookmarkEnd w:id="130"/>
      <w:bookmarkStart w:id="131" w:name="_Toc186468134"/>
      <w:r>
        <w:rPr>
          <w:rFonts w:hint="eastAsia"/>
          <w:b/>
          <w:bCs/>
          <w:spacing w:val="-7"/>
          <w:lang w:eastAsia="zh-CN"/>
        </w:rPr>
        <w:t>第一节</w:t>
      </w:r>
      <w:r>
        <w:rPr>
          <w:b/>
          <w:bCs/>
          <w:spacing w:val="-7"/>
          <w:lang w:eastAsia="zh-CN"/>
        </w:rPr>
        <w:t xml:space="preserve"> 管理组织构架</w:t>
      </w:r>
      <w:bookmarkEnd w:id="131"/>
    </w:p>
    <w:p w14:paraId="120612DD">
      <w:pPr>
        <w:spacing w:line="360" w:lineRule="auto"/>
        <w:ind w:firstLine="480" w:firstLineChars="200"/>
        <w:rPr>
          <w:rFonts w:hint="eastAsia" w:ascii="宋体" w:hAnsi="宋体" w:eastAsia="宋体" w:cs="Times New Roman"/>
          <w:sz w:val="24"/>
          <w:szCs w:val="24"/>
          <w:lang w:eastAsia="zh-CN"/>
        </w:rPr>
      </w:pPr>
      <w:bookmarkStart w:id="132" w:name="bookmark213"/>
      <w:bookmarkEnd w:id="132"/>
      <w:r>
        <w:rPr>
          <w:rFonts w:hint="eastAsia" w:ascii="宋体" w:hAnsi="宋体" w:eastAsia="宋体" w:cs="Times New Roman"/>
          <w:sz w:val="24"/>
          <w:szCs w:val="24"/>
          <w:lang w:eastAsia="zh-CN"/>
        </w:rPr>
        <w:t>以夹江县住建局为建筑垃圾的行政主管部门，具体负责建筑垃圾、工程渣土排放、运输、中转、回填、消纳等日常管理工作。</w:t>
      </w:r>
    </w:p>
    <w:p w14:paraId="6C054324">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公安、交运、规划、环保、园林等管理部门应当按照各自职责,配合搞好建筑垃圾、工程渣土的处置管理，</w:t>
      </w:r>
      <w:r>
        <w:rPr>
          <w:rFonts w:ascii="宋体" w:hAnsi="宋体" w:eastAsia="宋体" w:cs="Times New Roman"/>
          <w:sz w:val="24"/>
          <w:szCs w:val="24"/>
          <w:lang w:eastAsia="zh-CN"/>
        </w:rPr>
        <w:t>夹住建〔2024〕88号</w:t>
      </w:r>
      <w:r>
        <w:rPr>
          <w:rFonts w:hint="eastAsia" w:ascii="宋体" w:hAnsi="宋体" w:eastAsia="宋体" w:cs="Times New Roman"/>
          <w:sz w:val="24"/>
          <w:szCs w:val="24"/>
          <w:lang w:eastAsia="zh-CN"/>
        </w:rPr>
        <w:t>文件《关于加强城区建筑垃圾分类管理处置工作的通知》并提出以下管理构架：</w:t>
      </w:r>
    </w:p>
    <w:p w14:paraId="5C559752">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由县</w:t>
      </w:r>
      <w:r>
        <w:rPr>
          <w:rFonts w:ascii="宋体" w:hAnsi="宋体" w:eastAsia="宋体" w:cs="Times New Roman"/>
          <w:sz w:val="24"/>
          <w:szCs w:val="24"/>
          <w:lang w:eastAsia="zh-CN"/>
        </w:rPr>
        <w:t>住房城乡建设局</w:t>
      </w:r>
      <w:r>
        <w:rPr>
          <w:rFonts w:hint="eastAsia" w:ascii="宋体" w:hAnsi="宋体" w:eastAsia="宋体" w:cs="Times New Roman"/>
          <w:sz w:val="24"/>
          <w:szCs w:val="24"/>
          <w:lang w:eastAsia="zh-CN"/>
        </w:rPr>
        <w:t>牵头，实行建筑垃圾分类管理制度；</w:t>
      </w:r>
    </w:p>
    <w:p w14:paraId="0B20CA62">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w:t>
      </w:r>
      <w:r>
        <w:rPr>
          <w:rFonts w:ascii="宋体" w:hAnsi="宋体" w:eastAsia="宋体" w:cs="Times New Roman"/>
          <w:sz w:val="24"/>
          <w:szCs w:val="24"/>
          <w:lang w:eastAsia="zh-CN"/>
        </w:rPr>
        <w:t>县行政审批局</w:t>
      </w:r>
      <w:r>
        <w:rPr>
          <w:rFonts w:hint="eastAsia" w:ascii="宋体" w:hAnsi="宋体" w:eastAsia="宋体" w:cs="Times New Roman"/>
          <w:sz w:val="24"/>
          <w:szCs w:val="24"/>
          <w:lang w:eastAsia="zh-CN"/>
        </w:rPr>
        <w:t>牵头，由</w:t>
      </w:r>
      <w:r>
        <w:rPr>
          <w:rFonts w:ascii="宋体" w:hAnsi="宋体" w:eastAsia="宋体" w:cs="Times New Roman"/>
          <w:sz w:val="24"/>
          <w:szCs w:val="24"/>
          <w:lang w:eastAsia="zh-CN"/>
        </w:rPr>
        <w:t>县住房城乡建设局、县综合行政执法局实行建筑垃圾处置核准制度</w:t>
      </w:r>
      <w:r>
        <w:rPr>
          <w:rFonts w:hint="eastAsia" w:ascii="宋体" w:hAnsi="宋体" w:eastAsia="宋体" w:cs="Times New Roman"/>
          <w:sz w:val="24"/>
          <w:szCs w:val="24"/>
          <w:lang w:eastAsia="zh-CN"/>
        </w:rPr>
        <w:t>落实；</w:t>
      </w:r>
    </w:p>
    <w:p w14:paraId="2C5BE487">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由夹江县</w:t>
      </w:r>
      <w:r>
        <w:rPr>
          <w:rFonts w:ascii="宋体" w:hAnsi="宋体" w:eastAsia="宋体" w:cs="Times New Roman"/>
          <w:sz w:val="24"/>
          <w:szCs w:val="24"/>
          <w:lang w:eastAsia="zh-CN"/>
        </w:rPr>
        <w:t>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建立建筑垃圾处置公示牌制度</w:t>
      </w:r>
      <w:r>
        <w:rPr>
          <w:rFonts w:hint="eastAsia" w:ascii="宋体" w:hAnsi="宋体" w:eastAsia="宋体" w:cs="Times New Roman"/>
          <w:sz w:val="24"/>
          <w:szCs w:val="24"/>
          <w:lang w:eastAsia="zh-CN"/>
        </w:rPr>
        <w:t>；</w:t>
      </w:r>
    </w:p>
    <w:p w14:paraId="21AE70F0">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w:t>
      </w:r>
      <w:r>
        <w:rPr>
          <w:rFonts w:ascii="宋体" w:hAnsi="宋体" w:eastAsia="宋体" w:cs="Times New Roman"/>
          <w:sz w:val="24"/>
          <w:szCs w:val="24"/>
          <w:lang w:eastAsia="zh-CN"/>
        </w:rPr>
        <w:t>县住房城乡建设局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；县综合行政执法局建立建筑垃圾违法行为查处机制</w:t>
      </w:r>
      <w:r>
        <w:rPr>
          <w:rFonts w:hint="eastAsia" w:ascii="宋体" w:hAnsi="宋体" w:eastAsia="宋体" w:cs="Times New Roman"/>
          <w:sz w:val="24"/>
          <w:szCs w:val="24"/>
          <w:lang w:eastAsia="zh-CN"/>
        </w:rPr>
        <w:t>；</w:t>
      </w:r>
    </w:p>
    <w:p w14:paraId="4B980196">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w:t>
      </w:r>
      <w:r>
        <w:rPr>
          <w:rFonts w:ascii="宋体" w:hAnsi="宋体" w:eastAsia="宋体" w:cs="Times New Roman"/>
          <w:sz w:val="24"/>
          <w:szCs w:val="24"/>
          <w:lang w:eastAsia="zh-CN"/>
        </w:rPr>
        <w:t>县住房城乡建设局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县综合行政执法局加强建筑渣土管控落实降尘措施</w:t>
      </w:r>
      <w:r>
        <w:rPr>
          <w:rFonts w:hint="eastAsia" w:ascii="宋体" w:hAnsi="宋体" w:eastAsia="宋体" w:cs="Times New Roman"/>
          <w:sz w:val="24"/>
          <w:szCs w:val="24"/>
          <w:lang w:eastAsia="zh-CN"/>
        </w:rPr>
        <w:t>；</w:t>
      </w:r>
    </w:p>
    <w:p w14:paraId="08A4EE3C">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由县</w:t>
      </w:r>
      <w:r>
        <w:rPr>
          <w:rFonts w:ascii="宋体" w:hAnsi="宋体" w:eastAsia="宋体" w:cs="Times New Roman"/>
          <w:sz w:val="24"/>
          <w:szCs w:val="24"/>
          <w:lang w:eastAsia="zh-CN"/>
        </w:rPr>
        <w:t>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加强对建筑垃圾消纳场的监督管理</w:t>
      </w:r>
      <w:r>
        <w:rPr>
          <w:rFonts w:hint="eastAsia" w:ascii="宋体" w:hAnsi="宋体" w:eastAsia="宋体" w:cs="Times New Roman"/>
          <w:sz w:val="24"/>
          <w:szCs w:val="24"/>
          <w:lang w:eastAsia="zh-CN"/>
        </w:rPr>
        <w:t>；</w:t>
      </w:r>
    </w:p>
    <w:p w14:paraId="49035F25">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由县</w:t>
      </w:r>
      <w:r>
        <w:rPr>
          <w:rFonts w:ascii="宋体" w:hAnsi="宋体" w:eastAsia="宋体" w:cs="Times New Roman"/>
          <w:sz w:val="24"/>
          <w:szCs w:val="24"/>
          <w:lang w:eastAsia="zh-CN"/>
        </w:rPr>
        <w:t>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推进建筑垃圾资源化利用项目建设</w:t>
      </w:r>
      <w:r>
        <w:rPr>
          <w:rFonts w:hint="eastAsia" w:ascii="宋体" w:hAnsi="宋体" w:eastAsia="宋体" w:cs="Times New Roman"/>
          <w:sz w:val="24"/>
          <w:szCs w:val="24"/>
          <w:lang w:eastAsia="zh-CN"/>
        </w:rPr>
        <w:t>；</w:t>
      </w:r>
    </w:p>
    <w:p w14:paraId="09B53DF9">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由夹江</w:t>
      </w:r>
      <w:r>
        <w:rPr>
          <w:rFonts w:ascii="宋体" w:hAnsi="宋体" w:eastAsia="宋体" w:cs="Times New Roman"/>
          <w:sz w:val="24"/>
          <w:szCs w:val="24"/>
          <w:lang w:eastAsia="zh-CN"/>
        </w:rPr>
        <w:t>县住房城乡建设局</w:t>
      </w:r>
      <w:r>
        <w:rPr>
          <w:rFonts w:hint="eastAsia" w:ascii="宋体" w:hAnsi="宋体" w:eastAsia="宋体" w:cs="Times New Roman"/>
          <w:sz w:val="24"/>
          <w:szCs w:val="24"/>
          <w:lang w:eastAsia="zh-CN"/>
        </w:rPr>
        <w:t>牵头，</w:t>
      </w:r>
      <w:r>
        <w:rPr>
          <w:rFonts w:ascii="宋体" w:hAnsi="宋体" w:eastAsia="宋体" w:cs="Times New Roman"/>
          <w:sz w:val="24"/>
          <w:szCs w:val="24"/>
          <w:lang w:eastAsia="zh-CN"/>
        </w:rPr>
        <w:t>县委宣传部</w:t>
      </w:r>
      <w:r>
        <w:rPr>
          <w:rFonts w:hint="eastAsia" w:ascii="宋体" w:hAnsi="宋体" w:eastAsia="宋体" w:cs="Times New Roman"/>
          <w:sz w:val="24"/>
          <w:szCs w:val="24"/>
          <w:lang w:eastAsia="zh-CN"/>
        </w:rPr>
        <w:t>实施</w:t>
      </w:r>
      <w:r>
        <w:rPr>
          <w:rFonts w:ascii="宋体" w:hAnsi="宋体" w:eastAsia="宋体" w:cs="Times New Roman"/>
          <w:sz w:val="24"/>
          <w:szCs w:val="24"/>
          <w:lang w:eastAsia="zh-CN"/>
        </w:rPr>
        <w:t>强化建筑垃圾分类管理处置宣传引导</w:t>
      </w:r>
      <w:r>
        <w:rPr>
          <w:rFonts w:hint="eastAsia" w:ascii="宋体" w:hAnsi="宋体" w:eastAsia="宋体" w:cs="Times New Roman"/>
          <w:sz w:val="24"/>
          <w:szCs w:val="24"/>
          <w:lang w:eastAsia="zh-CN"/>
        </w:rPr>
        <w:t>。</w:t>
      </w:r>
    </w:p>
    <w:p w14:paraId="0C226A6C">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同时，由住房城乡建设部门牵头，发展改革、公安、财政、自然资源和规划、生态环境、交通运输等部门共同参与的全过程协同联动工作机制。</w:t>
      </w:r>
    </w:p>
    <w:p w14:paraId="7524B509">
      <w:pPr>
        <w:pStyle w:val="8"/>
        <w:spacing w:before="182" w:line="360" w:lineRule="auto"/>
        <w:ind w:left="28" w:right="79" w:firstLine="574" w:firstLineChars="200"/>
        <w:outlineLvl w:val="1"/>
        <w:rPr>
          <w:rFonts w:hint="eastAsia"/>
          <w:b/>
          <w:bCs/>
          <w:spacing w:val="-7"/>
          <w:lang w:eastAsia="zh-CN"/>
        </w:rPr>
      </w:pPr>
      <w:bookmarkStart w:id="133" w:name="_Toc186468135"/>
      <w:r>
        <w:rPr>
          <w:rFonts w:hint="eastAsia"/>
          <w:b/>
          <w:bCs/>
          <w:spacing w:val="-7"/>
          <w:lang w:eastAsia="zh-CN"/>
        </w:rPr>
        <w:t>第二节</w:t>
      </w:r>
      <w:r>
        <w:rPr>
          <w:b/>
          <w:bCs/>
          <w:spacing w:val="-7"/>
          <w:lang w:eastAsia="zh-CN"/>
        </w:rPr>
        <w:t xml:space="preserve"> 全过程管理体系建设</w:t>
      </w:r>
      <w:bookmarkEnd w:id="133"/>
    </w:p>
    <w:p w14:paraId="1FF8D7CC">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（一）建筑垃圾源头责任机制</w:t>
      </w:r>
    </w:p>
    <w:p w14:paraId="287B5FB0">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建议明确规定建设单位为工地建筑垃圾管理处置的主要责任人，对于不执行相关规定的工地，应追究建设单位的责任。这样可以减少因工程分包等引起的建筑垃圾管理违规责任推诿现象，找到建筑垃圾源头管理处置的最终责任人，增强建设单位在建筑垃圾管理方面的责任心，起到真正解决建筑垃圾源头管理缺位问题。</w:t>
      </w:r>
    </w:p>
    <w:p w14:paraId="2012ADB8">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施工现场应采取遮挡措施，根据需要设置围墙、维护、围栏等设施，不得在围墙维护围栏外施工和堆放建筑垃圾;作业中产生的建筑垃圾应及时清运，不能及时清运的应当妥善堆放，并采取防溢漏、防扬尘措施。</w:t>
      </w:r>
    </w:p>
    <w:p w14:paraId="079F29F7">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工地出入口，必须采取硬化措施并配备冲洗设备，车辆不得带泥上路。施工单位应在工地出入口和工地附近安排人员负责清扫，及时清洁、冲洗路面，保持工地周边环境整洁。</w:t>
      </w:r>
    </w:p>
    <w:p w14:paraId="00198C1A">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强化建筑垃圾的防尘管理措施。施工工程中产生的弃土、弃料及其他建筑垃圾，应及时清运。若在工地内堆置超过一周的，则应采取下列措施，防止风蚀起尘及水蚀迁移：</w:t>
      </w:r>
    </w:p>
    <w:p w14:paraId="6F206ABA">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(1)覆盖防尘布、防尘网；</w:t>
      </w:r>
    </w:p>
    <w:p w14:paraId="49AB64FF">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(2)定期喷酒抑尘剂；</w:t>
      </w:r>
    </w:p>
    <w:p w14:paraId="3AE672E8">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(3)定期喷水压尘；</w:t>
      </w:r>
    </w:p>
    <w:p w14:paraId="655EEA68">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(4)其他有效的防尘措施。</w:t>
      </w:r>
    </w:p>
    <w:p w14:paraId="05538DCC">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拆迁工地必须采取封闭式实体围墙，暂不能砌筑实体围墙的，可采用符合要求的材料构建临时简易围栏维护。</w:t>
      </w:r>
    </w:p>
    <w:p w14:paraId="717381CE">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各街道、居民小区应设立能满足建筑垃圾临时堆放的集散点，建筑垃圾应装袋存放，由所在街道、小区物业服务企业负责将居民建筑装修垃圾收集至建筑垃圾临时堆放的集散点。</w:t>
      </w:r>
    </w:p>
    <w:p w14:paraId="7747AC9A">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商铺门面装修必须采取围护、围栏等遮挡措施，不得擅自占道施工，产生的建筑装修垃圾不得随意堆放，要做到及时清理。</w:t>
      </w:r>
    </w:p>
    <w:p w14:paraId="13B5780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（二）运输监督机制</w:t>
      </w:r>
    </w:p>
    <w:p w14:paraId="33CA3D32">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对于建筑垃圾运输企业的管理，采取双证管理的政策，即准运证和处置证齐全才能上路运输。从事建筑垃圾运输的企业应具有合法的道路运输证、车辆行驶证以及建筑垃圾主管部门规定的自有运输车辆数量、核载吨位及密闭化、分类运输的各项要求，应逐步完善车辆定位系统和视频监视装置。建筑垃圾运输车的年度常规检验由机动车检验机构结合机动车辆安全技术检验(包括新车上牌检验)、营运车辆综合性能检验中相关检验项目进行。</w:t>
      </w:r>
    </w:p>
    <w:p w14:paraId="65E8CAF5">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建筑垃圾主管部门对申请建筑垃圾运输行政许可的企业经营者以及取得建筑垃圾运输行政许可的企业中的从业人员(包括车辆驾驶员、现场作业人员等)，应进行相关法律法规、标准及操作规程方面的培训。运输单位应按核准的路线和时间行驶，至批准的地点处理处置建筑垃圾，运输过程中不得超重、超载、超速，对发生人员死亡道路交通事故的运输车辆驾驶员和运输单位，应取消或限制其从事建筑垃圾运输资质，并承担相应刑事责任。</w:t>
      </w:r>
    </w:p>
    <w:p w14:paraId="2EBF0520">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（三）市场准入机制</w:t>
      </w:r>
    </w:p>
    <w:p w14:paraId="71347A95">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建设或施工单位不得将建筑垃圾交给个人或者未经核准的从事建筑垃圾运输的单位运输。</w:t>
      </w:r>
    </w:p>
    <w:p w14:paraId="61EF9E6E">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（四）投诉举报制度</w:t>
      </w:r>
    </w:p>
    <w:p w14:paraId="4BB4FD57">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城管局应设立专门的投诉举报窗口或平台，设立建筑垃圾管理违规行为的举报电话和网址，鼓励群众对建筑垃圾偷倒乱倒、超重运输等行为进行监督，并对社会公众投诉举报的违法违规行为依法进行审查处理。违法违规行为一经查实，可依据法律采取批评教育、罚款等措施，情节严重且屡教不改的，可将责任单位名称、联系电话、责任人等信息，通过公众媒体向社会公布，对提供有效举报信息的群众设立奖金。</w:t>
      </w:r>
    </w:p>
    <w:p w14:paraId="2DF3C959">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（五）应急系统建设</w:t>
      </w:r>
    </w:p>
    <w:p w14:paraId="59886911">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工程渣土和拆除垃圾的运输由企业负责，运输过程中如遇突发情况，主要由运输企业自行解决，管理部门协助；处理设施突发情况，由管理人员立即上报建筑垃圾管理办公室，由建筑垃圾管理办公室协调解决。</w:t>
      </w:r>
    </w:p>
    <w:p w14:paraId="6E5ED415">
      <w:pPr>
        <w:pStyle w:val="8"/>
        <w:spacing w:before="182" w:line="360" w:lineRule="auto"/>
        <w:ind w:left="28" w:right="79" w:firstLine="476"/>
        <w:jc w:val="both"/>
        <w:rPr>
          <w:rFonts w:hint="eastAsia"/>
          <w:spacing w:val="-5"/>
          <w:sz w:val="24"/>
          <w:szCs w:val="24"/>
          <w:lang w:eastAsia="zh-CN"/>
        </w:rPr>
      </w:pPr>
      <w:bookmarkStart w:id="134" w:name="bookmark215"/>
      <w:bookmarkEnd w:id="134"/>
    </w:p>
    <w:p w14:paraId="2DC703CF">
      <w:pPr>
        <w:pStyle w:val="8"/>
        <w:spacing w:before="182" w:line="360" w:lineRule="auto"/>
        <w:ind w:left="28" w:right="79" w:firstLine="476"/>
        <w:jc w:val="both"/>
        <w:rPr>
          <w:rFonts w:hint="eastAsia"/>
          <w:spacing w:val="-5"/>
          <w:sz w:val="24"/>
          <w:szCs w:val="24"/>
          <w:lang w:eastAsia="zh-CN"/>
        </w:rPr>
        <w:sectPr>
          <w:pgSz w:w="11907" w:h="16840"/>
          <w:pgMar w:top="1225" w:right="1332" w:bottom="1225" w:left="1786" w:header="0" w:footer="567" w:gutter="0"/>
          <w:pgNumType w:fmt="numberInDash"/>
          <w:cols w:space="720" w:num="1"/>
          <w:docGrid w:linePitch="286" w:charSpace="0"/>
        </w:sectPr>
      </w:pPr>
    </w:p>
    <w:p w14:paraId="05A8784D">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135" w:name="bookmark259"/>
      <w:bookmarkEnd w:id="135"/>
      <w:bookmarkStart w:id="136" w:name="_Toc186468136"/>
      <w:r>
        <w:rPr>
          <w:rFonts w:hint="eastAsia"/>
          <w:b/>
          <w:bCs/>
          <w:spacing w:val="-5"/>
          <w:sz w:val="31"/>
          <w:szCs w:val="31"/>
          <w:lang w:eastAsia="zh-CN"/>
        </w:rPr>
        <w:t>第九章</w:t>
      </w:r>
      <w:r>
        <w:rPr>
          <w:rFonts w:ascii="Times New Roman" w:hAnsi="Times New Roman" w:eastAsia="Times New Roman" w:cs="Times New Roman"/>
          <w:b/>
          <w:bCs/>
          <w:spacing w:val="-5"/>
          <w:sz w:val="31"/>
          <w:szCs w:val="31"/>
          <w:lang w:eastAsia="zh-CN"/>
        </w:rPr>
        <w:t xml:space="preserve">  </w:t>
      </w:r>
      <w:r>
        <w:rPr>
          <w:rFonts w:ascii="黑体" w:hAnsi="黑体" w:eastAsia="黑体" w:cs="黑体"/>
          <w:spacing w:val="8"/>
          <w:sz w:val="31"/>
          <w:szCs w:val="31"/>
          <w:lang w:eastAsia="zh-CN"/>
        </w:rPr>
        <w:t>近期建设规划</w:t>
      </w:r>
      <w:bookmarkEnd w:id="136"/>
    </w:p>
    <w:p w14:paraId="68A14E60">
      <w:pPr>
        <w:pStyle w:val="8"/>
        <w:spacing w:before="182" w:line="360" w:lineRule="auto"/>
        <w:ind w:left="28" w:right="79" w:firstLine="574" w:firstLineChars="200"/>
        <w:outlineLvl w:val="1"/>
        <w:rPr>
          <w:rFonts w:hint="eastAsia"/>
          <w:b/>
          <w:bCs/>
          <w:spacing w:val="-7"/>
          <w:lang w:eastAsia="zh-CN"/>
        </w:rPr>
      </w:pPr>
      <w:bookmarkStart w:id="137" w:name="bookmark263"/>
      <w:bookmarkEnd w:id="137"/>
      <w:bookmarkStart w:id="138" w:name="bookmark261"/>
      <w:bookmarkEnd w:id="138"/>
      <w:bookmarkStart w:id="139" w:name="_Toc186468137"/>
      <w:r>
        <w:rPr>
          <w:rFonts w:hint="eastAsia"/>
          <w:b/>
          <w:bCs/>
          <w:spacing w:val="-7"/>
          <w:lang w:eastAsia="zh-CN"/>
        </w:rPr>
        <w:t>第一节</w:t>
      </w:r>
      <w:r>
        <w:rPr>
          <w:b/>
          <w:bCs/>
          <w:spacing w:val="-7"/>
          <w:lang w:eastAsia="zh-CN"/>
        </w:rPr>
        <w:t xml:space="preserve"> 近期建设目标</w:t>
      </w:r>
      <w:bookmarkEnd w:id="139"/>
    </w:p>
    <w:p w14:paraId="397EA1B2">
      <w:pPr>
        <w:spacing w:line="360" w:lineRule="auto"/>
        <w:ind w:firstLine="480" w:firstLineChars="200"/>
        <w:rPr>
          <w:rFonts w:hint="eastAsia" w:ascii="宋体" w:hAnsi="宋体" w:eastAsia="宋体" w:cs="Times New Roman"/>
          <w:sz w:val="24"/>
          <w:szCs w:val="24"/>
          <w:lang w:eastAsia="zh-CN"/>
        </w:rPr>
      </w:pPr>
      <w:r>
        <w:rPr>
          <w:rFonts w:ascii="宋体" w:hAnsi="宋体" w:eastAsia="宋体" w:cs="Times New Roman"/>
          <w:sz w:val="24"/>
          <w:szCs w:val="24"/>
          <w:lang w:eastAsia="zh-CN"/>
        </w:rPr>
        <w:t>到2024年底，完成制定或修订本地区城市建筑垃圾污染环境防治工作规划，城市建筑垃圾全过程管理制度更加健全，产生、运输、处置核准进一步规范。到20</w:t>
      </w:r>
      <w:r>
        <w:rPr>
          <w:rFonts w:hint="eastAsia" w:ascii="宋体" w:hAnsi="宋体" w:eastAsia="宋体" w:cs="Times New Roman"/>
          <w:sz w:val="24"/>
          <w:szCs w:val="24"/>
          <w:lang w:eastAsia="zh-CN"/>
        </w:rPr>
        <w:t>30</w:t>
      </w:r>
      <w:r>
        <w:rPr>
          <w:rFonts w:ascii="宋体" w:hAnsi="宋体" w:eastAsia="宋体" w:cs="Times New Roman"/>
          <w:sz w:val="24"/>
          <w:szCs w:val="24"/>
          <w:lang w:eastAsia="zh-CN"/>
        </w:rPr>
        <w:t>年底，建立城市建筑垃圾治理体系，全过程管理制度有效落实，具有规范的建筑垃圾处置场所，城市建筑垃圾综合利用率达到</w:t>
      </w:r>
      <w:r>
        <w:rPr>
          <w:rFonts w:hint="eastAsia" w:ascii="宋体" w:hAnsi="宋体" w:eastAsia="宋体" w:cs="Times New Roman"/>
          <w:sz w:val="24"/>
          <w:szCs w:val="24"/>
          <w:lang w:eastAsia="zh-CN"/>
        </w:rPr>
        <w:t>70</w:t>
      </w:r>
      <w:r>
        <w:rPr>
          <w:rFonts w:ascii="宋体" w:hAnsi="宋体" w:eastAsia="宋体" w:cs="Times New Roman"/>
          <w:sz w:val="24"/>
          <w:szCs w:val="24"/>
          <w:lang w:eastAsia="zh-CN"/>
        </w:rPr>
        <w:t>%以上</w:t>
      </w:r>
      <w:r>
        <w:rPr>
          <w:rFonts w:hint="eastAsia" w:ascii="宋体" w:hAnsi="宋体" w:eastAsia="宋体" w:cs="Times New Roman"/>
          <w:sz w:val="24"/>
          <w:szCs w:val="24"/>
          <w:lang w:eastAsia="zh-CN"/>
        </w:rPr>
        <w:t>。</w:t>
      </w:r>
    </w:p>
    <w:p w14:paraId="77BF8D5A">
      <w:pPr>
        <w:pStyle w:val="8"/>
        <w:spacing w:before="182" w:line="360" w:lineRule="auto"/>
        <w:ind w:left="28" w:right="79" w:firstLine="574" w:firstLineChars="200"/>
        <w:outlineLvl w:val="1"/>
        <w:rPr>
          <w:rFonts w:hint="eastAsia"/>
          <w:b/>
          <w:bCs/>
          <w:spacing w:val="-7"/>
          <w:lang w:eastAsia="zh-CN"/>
        </w:rPr>
      </w:pPr>
      <w:bookmarkStart w:id="140" w:name="bookmark275"/>
      <w:bookmarkEnd w:id="140"/>
      <w:bookmarkStart w:id="141" w:name="bookmark273"/>
      <w:bookmarkEnd w:id="141"/>
      <w:bookmarkStart w:id="142" w:name="_Toc186468138"/>
      <w:r>
        <w:rPr>
          <w:rFonts w:hint="eastAsia"/>
          <w:b/>
          <w:bCs/>
          <w:spacing w:val="-7"/>
          <w:lang w:eastAsia="zh-CN"/>
        </w:rPr>
        <w:t>第二节</w:t>
      </w:r>
      <w:r>
        <w:rPr>
          <w:b/>
          <w:bCs/>
          <w:spacing w:val="-7"/>
          <w:lang w:eastAsia="zh-CN"/>
        </w:rPr>
        <w:t xml:space="preserve"> 存量治理</w:t>
      </w:r>
      <w:bookmarkEnd w:id="142"/>
    </w:p>
    <w:p w14:paraId="797B194A">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对堆放量较大、较集中的堆放点，经治理、评估达到安全稳定要求后，积极开展生态修复。完成治理的点位报地方环境卫生主管部门复核销号，严防环境污染事故发生。强化执法联动，依法对非法倾倒建筑垃圾问题进行立案查处，杜绝新增乱堆乱放现象。</w:t>
      </w:r>
    </w:p>
    <w:p w14:paraId="4AD4F252">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组织全面开展城市建成区存量建筑垃圾排查整治工作，分类制定整治措施，明确责任主体、资金来源和时间安排，开展存量建筑垃圾治理成效复核和销号工作。</w:t>
      </w:r>
    </w:p>
    <w:p w14:paraId="3A5A46AA">
      <w:pPr>
        <w:pStyle w:val="8"/>
        <w:spacing w:before="182" w:line="360" w:lineRule="auto"/>
        <w:ind w:left="28" w:right="79" w:firstLine="574" w:firstLineChars="200"/>
        <w:outlineLvl w:val="1"/>
        <w:rPr>
          <w:rFonts w:hint="eastAsia"/>
          <w:b/>
          <w:bCs/>
          <w:spacing w:val="-7"/>
          <w:lang w:eastAsia="zh-CN"/>
        </w:rPr>
      </w:pPr>
      <w:bookmarkStart w:id="143" w:name="_Toc186468139"/>
      <w:r>
        <w:rPr>
          <w:rFonts w:hint="eastAsia"/>
          <w:b/>
          <w:bCs/>
          <w:spacing w:val="-7"/>
          <w:lang w:eastAsia="zh-CN"/>
        </w:rPr>
        <w:t>第三节</w:t>
      </w:r>
      <w:r>
        <w:rPr>
          <w:b/>
          <w:bCs/>
          <w:spacing w:val="-7"/>
          <w:lang w:eastAsia="zh-CN"/>
        </w:rPr>
        <w:t xml:space="preserve"> </w:t>
      </w:r>
      <w:r>
        <w:rPr>
          <w:rFonts w:hint="eastAsia"/>
          <w:b/>
          <w:bCs/>
          <w:spacing w:val="-7"/>
          <w:lang w:eastAsia="zh-CN"/>
        </w:rPr>
        <w:t>收集运输设施建设</w:t>
      </w:r>
      <w:bookmarkEnd w:id="143"/>
    </w:p>
    <w:p w14:paraId="3A21BB56">
      <w:pPr>
        <w:spacing w:line="360" w:lineRule="auto"/>
        <w:ind w:firstLine="480" w:firstLineChars="200"/>
        <w:rPr>
          <w:rFonts w:hint="eastAsia" w:ascii="宋体" w:hAnsi="宋体" w:eastAsia="宋体" w:cs="Times New Roman"/>
          <w:color w:val="FF0000"/>
          <w:sz w:val="24"/>
          <w:szCs w:val="24"/>
          <w:lang w:eastAsia="zh-CN"/>
        </w:rPr>
      </w:pPr>
      <w:bookmarkStart w:id="144" w:name="OLE_LINK61"/>
      <w:bookmarkStart w:id="145" w:name="OLE_LINK57"/>
      <w:r>
        <w:rPr>
          <w:rFonts w:hint="eastAsia" w:ascii="宋体" w:hAnsi="宋体" w:eastAsia="宋体" w:cs="Times New Roman"/>
          <w:sz w:val="24"/>
          <w:szCs w:val="24"/>
          <w:lang w:eastAsia="zh-CN"/>
        </w:rPr>
        <w:t>夹江县目前对产生建筑垃圾的项目合理规划堆放场地面积，依据清运频次和排放量进行科学设置。对于设有地下室的楼盘，建筑垃圾堆放应设置在地下室并打围管理，以确保安全与环境整洁</w:t>
      </w:r>
      <w:r>
        <w:rPr>
          <w:rFonts w:ascii="宋体" w:hAnsi="宋体" w:eastAsia="宋体" w:cs="Times New Roman"/>
          <w:sz w:val="24"/>
          <w:szCs w:val="24"/>
          <w:lang w:eastAsia="zh-CN"/>
        </w:rPr>
        <w:t>。</w:t>
      </w:r>
      <w:bookmarkEnd w:id="144"/>
      <w:r>
        <w:rPr>
          <w:rFonts w:hint="eastAsia" w:ascii="宋体" w:hAnsi="宋体" w:eastAsia="宋体" w:cs="Times New Roman"/>
          <w:sz w:val="24"/>
          <w:szCs w:val="24"/>
          <w:lang w:eastAsia="zh-CN"/>
        </w:rPr>
        <w:t>针对零散装修产生的建筑垃圾，推广使用APP预约或</w:t>
      </w:r>
      <w:r>
        <w:rPr>
          <w:rFonts w:hint="eastAsia" w:ascii="宋体" w:hAnsi="宋体" w:eastAsia="宋体" w:cs="Times New Roman"/>
          <w:color w:val="auto"/>
          <w:sz w:val="24"/>
          <w:szCs w:val="24"/>
          <w:lang w:eastAsia="zh-CN"/>
        </w:rPr>
        <w:t>电话预约等便捷方式，实现定时上门收集服务。</w:t>
      </w:r>
      <w:bookmarkEnd w:id="145"/>
    </w:p>
    <w:p w14:paraId="16175AA8">
      <w:pPr>
        <w:pStyle w:val="8"/>
        <w:spacing w:before="182" w:line="360" w:lineRule="auto"/>
        <w:ind w:left="28" w:right="79" w:firstLine="574" w:firstLineChars="200"/>
        <w:outlineLvl w:val="1"/>
        <w:rPr>
          <w:rFonts w:hint="eastAsia"/>
          <w:b/>
          <w:bCs/>
          <w:spacing w:val="-7"/>
          <w:lang w:eastAsia="zh-CN"/>
        </w:rPr>
      </w:pPr>
      <w:bookmarkStart w:id="146" w:name="_Toc186468140"/>
      <w:r>
        <w:rPr>
          <w:rFonts w:hint="eastAsia"/>
          <w:b/>
          <w:bCs/>
          <w:spacing w:val="-7"/>
          <w:lang w:eastAsia="zh-CN"/>
        </w:rPr>
        <w:t>第四节</w:t>
      </w:r>
      <w:r>
        <w:rPr>
          <w:b/>
          <w:bCs/>
          <w:spacing w:val="-7"/>
          <w:lang w:eastAsia="zh-CN"/>
        </w:rPr>
        <w:t xml:space="preserve"> </w:t>
      </w:r>
      <w:r>
        <w:rPr>
          <w:rFonts w:hint="eastAsia"/>
          <w:b/>
          <w:bCs/>
          <w:spacing w:val="-7"/>
          <w:lang w:eastAsia="zh-CN"/>
        </w:rPr>
        <w:t>处置利用设施建设</w:t>
      </w:r>
      <w:bookmarkEnd w:id="146"/>
    </w:p>
    <w:p w14:paraId="24ED7496">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（一）分拣垃圾处置中心</w:t>
      </w:r>
    </w:p>
    <w:p w14:paraId="296269F6">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夹江县规划分拣垃圾处理中心置为夹江县黄土镇黄土村2社(黄土中转站旁)，建设内容及规模如下：</w:t>
      </w:r>
    </w:p>
    <w:p w14:paraId="79ABA73B">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分拣垃圾处置中心面积538.3m主要建设内容包括分拣中心、休息间、库房、控制室、监控等并配套垃圾分拣破碎机、水电设施、进场道路及环境保护设施等，总投资800万元。</w:t>
      </w:r>
    </w:p>
    <w:p w14:paraId="5121A0B8">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（二）建筑垃圾处理</w:t>
      </w:r>
    </w:p>
    <w:p w14:paraId="29B88508">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夹江县</w:t>
      </w:r>
      <w:r>
        <w:rPr>
          <w:rFonts w:ascii="宋体" w:hAnsi="宋体" w:eastAsia="宋体" w:cs="Times New Roman"/>
          <w:sz w:val="24"/>
          <w:szCs w:val="24"/>
          <w:lang w:eastAsia="zh-CN"/>
        </w:rPr>
        <w:t>建筑垃圾处理项目工程位于夹江县土门乡万福村一社，占地面积800m²。设计规模为平均日分拣处理建筑垃圾200</w:t>
      </w:r>
      <w:r>
        <w:rPr>
          <w:rFonts w:hint="eastAsia" w:ascii="宋体" w:hAnsi="宋体" w:eastAsia="宋体" w:cs="Times New Roman"/>
          <w:sz w:val="24"/>
          <w:szCs w:val="24"/>
          <w:lang w:eastAsia="zh-CN"/>
        </w:rPr>
        <w:t>吨</w:t>
      </w:r>
      <w:r>
        <w:rPr>
          <w:rFonts w:ascii="宋体" w:hAnsi="宋体" w:eastAsia="宋体" w:cs="Times New Roman"/>
          <w:sz w:val="24"/>
          <w:szCs w:val="24"/>
          <w:lang w:eastAsia="zh-CN"/>
        </w:rPr>
        <w:t>,设计分拣区堆场堆高约为3m,总堆积容积1500m³,年处理建筑垃圾7</w:t>
      </w:r>
      <w:r>
        <w:rPr>
          <w:rFonts w:hint="eastAsia" w:ascii="宋体" w:hAnsi="宋体" w:eastAsia="宋体" w:cs="Times New Roman"/>
          <w:sz w:val="24"/>
          <w:szCs w:val="24"/>
          <w:lang w:eastAsia="zh-CN"/>
        </w:rPr>
        <w:t>.</w:t>
      </w:r>
      <w:r>
        <w:rPr>
          <w:rFonts w:ascii="宋体" w:hAnsi="宋体" w:eastAsia="宋体" w:cs="Times New Roman"/>
          <w:sz w:val="24"/>
          <w:szCs w:val="24"/>
          <w:lang w:eastAsia="zh-CN"/>
        </w:rPr>
        <w:t>2万</w:t>
      </w:r>
      <w:r>
        <w:rPr>
          <w:rFonts w:hint="eastAsia" w:ascii="宋体" w:hAnsi="宋体" w:eastAsia="宋体" w:cs="Times New Roman"/>
          <w:sz w:val="24"/>
          <w:szCs w:val="24"/>
          <w:lang w:eastAsia="zh-CN"/>
        </w:rPr>
        <w:t>吨</w:t>
      </w:r>
      <w:r>
        <w:rPr>
          <w:rFonts w:ascii="宋体" w:hAnsi="宋体" w:eastAsia="宋体" w:cs="Times New Roman"/>
          <w:sz w:val="24"/>
          <w:szCs w:val="24"/>
          <w:lang w:eastAsia="zh-CN"/>
        </w:rPr>
        <w:t>,采用人工分拣方式。工程为三面高中间低的山凹地，主要利用凹陷部分进行堆填。建设内容主要包括：管理区、地磅房、机械设备暂存区、沉淀池，彩钢棚。</w:t>
      </w:r>
    </w:p>
    <w:p w14:paraId="2E13F8DC">
      <w:pPr>
        <w:spacing w:line="360" w:lineRule="auto"/>
        <w:ind w:firstLine="480"/>
        <w:rPr>
          <w:rFonts w:hint="eastAsia" w:ascii="宋体" w:hAnsi="宋体" w:eastAsia="宋体"/>
          <w:b/>
          <w:bCs/>
          <w:spacing w:val="-5"/>
          <w:sz w:val="24"/>
          <w:szCs w:val="24"/>
          <w:lang w:eastAsia="zh-CN"/>
        </w:rPr>
      </w:pPr>
      <w:r>
        <w:rPr>
          <w:rFonts w:hint="eastAsia" w:ascii="宋体" w:hAnsi="宋体" w:eastAsia="宋体"/>
          <w:b/>
          <w:bCs/>
          <w:spacing w:val="-5"/>
          <w:sz w:val="24"/>
          <w:szCs w:val="24"/>
          <w:lang w:eastAsia="zh-CN"/>
        </w:rPr>
        <w:t>（三）夹江县峨威水泥有限公司</w:t>
      </w:r>
    </w:p>
    <w:p w14:paraId="41D73E49">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夹江县建材工业虽然得到了长足的发展，但资源综合利用水平低。根据初步调查，目前夹江县境内共有建筑陶瓷生产厂100余家，窑炉废渣废料数量巨大。大量废渣废料的堆积，不但占用了宝贵的土地资源，也造成对环境的污染。</w:t>
      </w:r>
    </w:p>
    <w:p w14:paraId="76630F5F">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为了有效利用夹江县陶瓷工业窑炉废渣废料资源，夹江县峨威水泥有限公司决定在土门乡万福村一组新建一条年产60万吨复合水泥粉磨站。该项目目前投产后每年可利用陶瓷工业废渣及废料约20万吨。夹江县城市建筑垃圾处置利用设施规划图，如下：</w:t>
      </w:r>
    </w:p>
    <w:p w14:paraId="234B03F8">
      <w:pPr>
        <w:pStyle w:val="8"/>
        <w:spacing w:before="182" w:line="360" w:lineRule="auto"/>
        <w:ind w:left="28" w:right="79" w:firstLine="480"/>
        <w:jc w:val="center"/>
        <w:rPr>
          <w:rFonts w:hint="eastAsia"/>
          <w:spacing w:val="-1"/>
          <w:sz w:val="24"/>
          <w:szCs w:val="24"/>
          <w:lang w:eastAsia="zh-CN"/>
        </w:rPr>
      </w:pPr>
      <w:r>
        <w:drawing>
          <wp:inline distT="0" distB="0" distL="0" distR="0">
            <wp:extent cx="3561715" cy="2787015"/>
            <wp:effectExtent l="0" t="0" r="635" b="0"/>
            <wp:docPr id="35127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7242" name="图片 1"/>
                    <pic:cNvPicPr>
                      <a:picLocks noChangeAspect="1"/>
                    </pic:cNvPicPr>
                  </pic:nvPicPr>
                  <pic:blipFill>
                    <a:blip r:embed="rId18"/>
                    <a:stretch>
                      <a:fillRect/>
                    </a:stretch>
                  </pic:blipFill>
                  <pic:spPr>
                    <a:xfrm>
                      <a:off x="0" y="0"/>
                      <a:ext cx="3569956" cy="2793525"/>
                    </a:xfrm>
                    <a:prstGeom prst="rect">
                      <a:avLst/>
                    </a:prstGeom>
                  </pic:spPr>
                </pic:pic>
              </a:graphicData>
            </a:graphic>
          </wp:inline>
        </w:drawing>
      </w:r>
    </w:p>
    <w:p w14:paraId="343E3C6E">
      <w:pPr>
        <w:pStyle w:val="8"/>
        <w:spacing w:before="182" w:line="360" w:lineRule="auto"/>
        <w:ind w:left="28" w:right="79" w:firstLine="480"/>
        <w:rPr>
          <w:rFonts w:hint="eastAsia"/>
          <w:color w:val="FF0000"/>
          <w:lang w:eastAsia="zh-CN"/>
        </w:rPr>
        <w:sectPr>
          <w:pgSz w:w="11907" w:h="16840"/>
          <w:pgMar w:top="1225" w:right="1332" w:bottom="1225" w:left="1786" w:header="850" w:footer="850" w:gutter="0"/>
          <w:pgNumType w:fmt="numberInDash"/>
          <w:cols w:space="720" w:num="1"/>
          <w:docGrid w:linePitch="286" w:charSpace="0"/>
        </w:sectPr>
      </w:pPr>
      <w:r>
        <w:rPr>
          <w:rFonts w:hint="eastAsia"/>
          <w:color w:val="FF0000"/>
          <w:lang w:eastAsia="zh-CN"/>
        </w:rPr>
        <w:t xml:space="preserve"> </w:t>
      </w:r>
    </w:p>
    <w:p w14:paraId="69C95245">
      <w:pPr>
        <w:pStyle w:val="8"/>
        <w:spacing w:before="182" w:line="360" w:lineRule="auto"/>
        <w:ind w:left="28" w:right="79"/>
        <w:jc w:val="center"/>
        <w:outlineLvl w:val="0"/>
        <w:rPr>
          <w:rFonts w:ascii="Times New Roman" w:hAnsi="Times New Roman" w:eastAsia="Times New Roman" w:cs="Times New Roman"/>
          <w:b/>
          <w:bCs/>
          <w:spacing w:val="-5"/>
          <w:sz w:val="31"/>
          <w:szCs w:val="31"/>
          <w:lang w:eastAsia="zh-CN"/>
        </w:rPr>
      </w:pPr>
      <w:bookmarkStart w:id="147" w:name="bookmark291"/>
      <w:bookmarkEnd w:id="147"/>
      <w:bookmarkStart w:id="148" w:name="_Toc186468141"/>
      <w:r>
        <w:rPr>
          <w:rFonts w:hint="eastAsia"/>
          <w:b/>
          <w:bCs/>
          <w:spacing w:val="-5"/>
          <w:sz w:val="31"/>
          <w:szCs w:val="31"/>
          <w:lang w:eastAsia="zh-CN"/>
        </w:rPr>
        <w:t>第十章</w:t>
      </w:r>
      <w:r>
        <w:rPr>
          <w:rFonts w:ascii="Times New Roman" w:hAnsi="Times New Roman" w:eastAsia="Times New Roman" w:cs="Times New Roman"/>
          <w:b/>
          <w:bCs/>
          <w:spacing w:val="-5"/>
          <w:sz w:val="31"/>
          <w:szCs w:val="31"/>
          <w:lang w:eastAsia="zh-CN"/>
        </w:rPr>
        <w:t xml:space="preserve">  </w:t>
      </w:r>
      <w:r>
        <w:rPr>
          <w:rFonts w:hint="eastAsia"/>
          <w:b/>
          <w:bCs/>
          <w:spacing w:val="-5"/>
          <w:sz w:val="31"/>
          <w:szCs w:val="31"/>
          <w:lang w:eastAsia="zh-CN"/>
        </w:rPr>
        <w:t>保障措施</w:t>
      </w:r>
      <w:bookmarkEnd w:id="148"/>
    </w:p>
    <w:p w14:paraId="5CE15903">
      <w:pPr>
        <w:pStyle w:val="8"/>
        <w:spacing w:before="182" w:line="360" w:lineRule="auto"/>
        <w:ind w:left="28" w:right="79" w:firstLine="574" w:firstLineChars="200"/>
        <w:outlineLvl w:val="1"/>
        <w:rPr>
          <w:rFonts w:hint="eastAsia"/>
          <w:b/>
          <w:bCs/>
          <w:spacing w:val="-7"/>
          <w:lang w:eastAsia="zh-CN"/>
        </w:rPr>
      </w:pPr>
      <w:bookmarkStart w:id="149" w:name="bookmark293"/>
      <w:bookmarkEnd w:id="149"/>
      <w:bookmarkStart w:id="150" w:name="bookmark295"/>
      <w:bookmarkEnd w:id="150"/>
      <w:bookmarkStart w:id="151" w:name="_Toc186468142"/>
      <w:r>
        <w:rPr>
          <w:rFonts w:hint="eastAsia"/>
          <w:b/>
          <w:bCs/>
          <w:spacing w:val="-7"/>
          <w:lang w:eastAsia="zh-CN"/>
        </w:rPr>
        <w:t>第一节</w:t>
      </w:r>
      <w:r>
        <w:rPr>
          <w:b/>
          <w:bCs/>
          <w:spacing w:val="-7"/>
          <w:lang w:eastAsia="zh-CN"/>
        </w:rPr>
        <w:t xml:space="preserve"> 建立工作</w:t>
      </w:r>
      <w:bookmarkStart w:id="152" w:name="OLE_LINK9"/>
      <w:r>
        <w:rPr>
          <w:b/>
          <w:bCs/>
          <w:spacing w:val="-7"/>
          <w:lang w:eastAsia="zh-CN"/>
        </w:rPr>
        <w:t>机制</w:t>
      </w:r>
      <w:bookmarkEnd w:id="151"/>
      <w:bookmarkEnd w:id="152"/>
    </w:p>
    <w:p w14:paraId="1ED8B50A">
      <w:pPr>
        <w:spacing w:line="360" w:lineRule="auto"/>
        <w:ind w:firstLine="480" w:firstLineChars="200"/>
        <w:rPr>
          <w:rFonts w:hint="eastAsia" w:ascii="宋体" w:hAnsi="宋体" w:eastAsia="宋体" w:cs="Times New Roman"/>
          <w:sz w:val="24"/>
          <w:szCs w:val="24"/>
          <w:lang w:eastAsia="zh-CN"/>
        </w:rPr>
      </w:pPr>
      <w:r>
        <w:rPr>
          <w:rFonts w:ascii="宋体" w:hAnsi="宋体" w:eastAsia="宋体" w:cs="Times New Roman"/>
          <w:sz w:val="24"/>
          <w:szCs w:val="24"/>
          <w:lang w:eastAsia="zh-CN"/>
        </w:rPr>
        <w:t>实行“统一领导、统筹规划、分级管理”的工作机制，压实行业、属地责任，高效及时协调工作中的问题，确保建筑垃圾治理工作常态长效。</w:t>
      </w:r>
    </w:p>
    <w:p w14:paraId="16E479C3">
      <w:pPr>
        <w:spacing w:before="61" w:line="360" w:lineRule="auto"/>
        <w:ind w:right="214" w:firstLine="482" w:firstLineChars="200"/>
        <w:rPr>
          <w:rFonts w:hint="eastAsia" w:ascii="宋体" w:hAnsi="宋体" w:eastAsia="宋体" w:cs="Times New Roman"/>
          <w:sz w:val="24"/>
          <w:szCs w:val="24"/>
          <w:lang w:eastAsia="zh-CN"/>
        </w:rPr>
      </w:pPr>
      <w:r>
        <w:rPr>
          <w:rFonts w:ascii="宋体" w:hAnsi="宋体" w:eastAsia="宋体" w:cs="宋体"/>
          <w:b/>
          <w:bCs/>
          <w:sz w:val="24"/>
          <w:szCs w:val="24"/>
          <w:lang w:eastAsia="zh-CN"/>
        </w:rPr>
        <w:t>建立建筑垃圾违法行为查处机制。</w:t>
      </w:r>
      <w:r>
        <w:rPr>
          <w:rFonts w:ascii="宋体" w:hAnsi="宋体" w:eastAsia="宋体" w:cs="Times New Roman"/>
          <w:sz w:val="24"/>
          <w:szCs w:val="24"/>
          <w:lang w:eastAsia="zh-CN"/>
        </w:rPr>
        <w:t>实施联合执法，对建筑垃圾倾倒开展全域监控巡查，加强对乱倾乱倒建筑垃圾行为的防控，严厉打击乱倾乱倒建筑垃圾行为；公布投诉举报电话，及时赶赴现场查处各类投诉举报，对违法行为做好调查处理。</w:t>
      </w:r>
    </w:p>
    <w:p w14:paraId="39B3268C">
      <w:pPr>
        <w:spacing w:before="104" w:line="360" w:lineRule="auto"/>
        <w:ind w:left="9" w:right="23" w:firstLine="482" w:firstLineChars="200"/>
        <w:rPr>
          <w:rFonts w:hint="eastAsia" w:ascii="宋体" w:hAnsi="宋体" w:eastAsia="宋体" w:cs="Times New Roman"/>
          <w:sz w:val="24"/>
          <w:szCs w:val="24"/>
          <w:lang w:eastAsia="zh-CN"/>
        </w:rPr>
      </w:pPr>
      <w:r>
        <w:rPr>
          <w:rFonts w:ascii="宋体" w:hAnsi="宋体" w:eastAsia="宋体" w:cs="宋体"/>
          <w:b/>
          <w:bCs/>
          <w:sz w:val="24"/>
          <w:szCs w:val="24"/>
          <w:lang w:eastAsia="zh-CN"/>
        </w:rPr>
        <w:t>建立建筑垃圾分类管理制度。</w:t>
      </w:r>
      <w:r>
        <w:rPr>
          <w:rFonts w:ascii="宋体" w:hAnsi="宋体" w:eastAsia="宋体" w:cs="Times New Roman"/>
          <w:sz w:val="24"/>
          <w:szCs w:val="24"/>
          <w:lang w:eastAsia="zh-CN"/>
        </w:rPr>
        <w:t>工程施工单位应当编制和落实建筑垃圾处理专项方案，减少施工现场建筑垃圾排放。各建设、施工单位要建立建筑垃圾分类收集与堆放管理制度，对建筑垃圾进行分类收集和堆放，同时做好建筑垃圾收运台帐。不得将危险废物和生活垃圾混入建筑垃圾，不得将建筑垃圾交由个人或未经核准的企业处置，不得随意倾倒、抛撒或堆放建筑垃圾。</w:t>
      </w:r>
    </w:p>
    <w:p w14:paraId="28DAA998">
      <w:pPr>
        <w:spacing w:before="74" w:line="360" w:lineRule="auto"/>
        <w:ind w:right="239" w:firstLine="482" w:firstLineChars="200"/>
        <w:rPr>
          <w:rFonts w:hint="eastAsia" w:ascii="宋体" w:hAnsi="宋体" w:eastAsia="宋体" w:cs="Times New Roman"/>
          <w:sz w:val="24"/>
          <w:szCs w:val="24"/>
          <w:lang w:eastAsia="zh-CN"/>
        </w:rPr>
      </w:pPr>
      <w:r>
        <w:rPr>
          <w:rFonts w:ascii="宋体" w:hAnsi="宋体" w:eastAsia="宋体" w:cs="宋体"/>
          <w:b/>
          <w:bCs/>
          <w:sz w:val="24"/>
          <w:szCs w:val="24"/>
          <w:lang w:eastAsia="zh-CN"/>
        </w:rPr>
        <w:t>实行建筑垃圾处置核准制度。</w:t>
      </w:r>
      <w:r>
        <w:rPr>
          <w:rFonts w:ascii="宋体" w:hAnsi="宋体" w:eastAsia="宋体" w:cs="Times New Roman"/>
          <w:sz w:val="24"/>
          <w:szCs w:val="24"/>
          <w:lang w:eastAsia="zh-CN"/>
        </w:rPr>
        <w:t>处置建筑垃圾的企业在具备文明施工条件、密闭运输和合法处置地点后，准备相关申请材料，提前向县行政审批局申请办理《城市建筑垃圾处置核准证》,县行政审批局办理《城市建筑垃圾处置核准证》同时，将核准文件抄告县住房城乡建设局、县综合行政执法局，以便于执法工作开展，取得核准的运输车辆应随车携带核准文件备查，并严格按核准内容实施作业，严格按核准内容实施监管，确保建筑垃圾不落地、不扬尘，清洁、环保地运至核准的消纳场地。</w:t>
      </w:r>
    </w:p>
    <w:p w14:paraId="29F5248B">
      <w:pPr>
        <w:spacing w:before="107" w:line="360" w:lineRule="auto"/>
        <w:ind w:right="219" w:firstLine="482" w:firstLineChars="200"/>
        <w:jc w:val="both"/>
        <w:rPr>
          <w:rFonts w:hint="eastAsia" w:ascii="宋体" w:hAnsi="宋体" w:eastAsia="宋体" w:cs="宋体"/>
          <w:sz w:val="24"/>
          <w:szCs w:val="24"/>
          <w:lang w:eastAsia="zh-CN"/>
        </w:rPr>
      </w:pPr>
      <w:r>
        <w:rPr>
          <w:rFonts w:ascii="宋体" w:hAnsi="宋体" w:eastAsia="宋体" w:cs="宋体"/>
          <w:b/>
          <w:bCs/>
          <w:sz w:val="24"/>
          <w:szCs w:val="24"/>
          <w:lang w:eastAsia="zh-CN"/>
        </w:rPr>
        <w:t>建立建筑垃圾处置公示牌制度。</w:t>
      </w:r>
      <w:r>
        <w:rPr>
          <w:rFonts w:ascii="宋体" w:hAnsi="宋体" w:eastAsia="宋体" w:cs="宋体"/>
          <w:sz w:val="24"/>
          <w:szCs w:val="24"/>
          <w:lang w:eastAsia="zh-CN"/>
        </w:rPr>
        <w:t>工程施工单位应当编制建筑垃圾处理方案，采取污染防治措施，并报县住房城乡建设局市政中心备案，市政中心收到工程施工单位编制建筑垃圾处置方案的同时，抄告县综合行政执法局，以便于执法工作开展。建立建筑垃圾处置公示牌制度，在施工现场显著位置公示建筑垃圾处置责任单位、责任人、运输单位以及消纳场</w:t>
      </w:r>
      <w:r>
        <w:rPr>
          <w:rFonts w:hint="eastAsia" w:ascii="宋体" w:hAnsi="宋体" w:eastAsia="宋体" w:cs="宋体"/>
          <w:sz w:val="24"/>
          <w:szCs w:val="24"/>
          <w:lang w:eastAsia="zh-CN"/>
        </w:rPr>
        <w:t>地址</w:t>
      </w:r>
      <w:r>
        <w:rPr>
          <w:rFonts w:ascii="宋体" w:hAnsi="宋体" w:eastAsia="宋体" w:cs="宋体"/>
          <w:sz w:val="24"/>
          <w:szCs w:val="24"/>
          <w:lang w:eastAsia="zh-CN"/>
        </w:rPr>
        <w:t>等信息，广泛接受社会监督。工程施工单位应及时清运工程施工过程中产生的建筑垃圾，并按照规定进行利用和处置。</w:t>
      </w:r>
    </w:p>
    <w:p w14:paraId="3DD87EB1">
      <w:pPr>
        <w:spacing w:before="244" w:line="360" w:lineRule="auto"/>
        <w:ind w:right="227"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加强建筑渣土管控落实降尘措施。</w:t>
      </w:r>
      <w:r>
        <w:rPr>
          <w:rFonts w:ascii="宋体" w:hAnsi="宋体" w:eastAsia="宋体" w:cs="宋体"/>
          <w:sz w:val="24"/>
          <w:szCs w:val="24"/>
          <w:lang w:eastAsia="zh-CN"/>
        </w:rPr>
        <w:t>重点检查施工现场和弃土场裸土覆盖及塑料防尘网使用情况、建筑渣土集中堆放和清运情况、出入口硬化与保洁情况、冲洗设施安装情况、喷淋及雾炮等降尘措施使用情况。</w:t>
      </w:r>
    </w:p>
    <w:p w14:paraId="358129BD">
      <w:pPr>
        <w:spacing w:before="211" w:line="360" w:lineRule="auto"/>
        <w:ind w:right="198" w:firstLine="482" w:firstLineChars="200"/>
        <w:rPr>
          <w:rFonts w:hint="eastAsia" w:ascii="宋体" w:hAnsi="宋体" w:eastAsia="宋体" w:cs="宋体"/>
          <w:sz w:val="24"/>
          <w:szCs w:val="24"/>
          <w:lang w:eastAsia="zh-CN"/>
        </w:rPr>
      </w:pPr>
      <w:r>
        <w:rPr>
          <w:rFonts w:ascii="宋体" w:hAnsi="宋体" w:eastAsia="宋体" w:cs="宋体"/>
          <w:b/>
          <w:bCs/>
          <w:sz w:val="24"/>
          <w:szCs w:val="24"/>
          <w:lang w:eastAsia="zh-CN"/>
        </w:rPr>
        <w:t>加强对建筑垃圾消纳场的监督管理。</w:t>
      </w:r>
      <w:r>
        <w:rPr>
          <w:rFonts w:ascii="宋体" w:hAnsi="宋体" w:eastAsia="宋体" w:cs="宋体"/>
          <w:sz w:val="24"/>
          <w:szCs w:val="24"/>
          <w:lang w:eastAsia="zh-CN"/>
        </w:rPr>
        <w:t>严格落实建筑垃圾消纳场标准化建设及运营管理职责。建筑垃圾消纳场建设应符合《建筑垃圾处理技术标准》和城镇环境卫生专项规划要求，督促建设单位严格按照标准进行建设；任何单位和个人不得擅自设置建筑垃圾消纳场，受纳建筑垃圾，一经发现要立即查处，造成环境污染要依法追究责任。</w:t>
      </w:r>
    </w:p>
    <w:p w14:paraId="7DEDE00B">
      <w:pPr>
        <w:spacing w:before="107" w:line="360" w:lineRule="auto"/>
        <w:ind w:left="9" w:right="222" w:firstLine="482" w:firstLineChars="200"/>
        <w:jc w:val="both"/>
        <w:rPr>
          <w:rFonts w:hint="eastAsia" w:ascii="宋体" w:hAnsi="宋体" w:eastAsia="宋体" w:cs="宋体"/>
          <w:sz w:val="24"/>
          <w:szCs w:val="24"/>
          <w:lang w:eastAsia="zh-CN"/>
        </w:rPr>
      </w:pPr>
      <w:r>
        <w:rPr>
          <w:rFonts w:ascii="宋体" w:hAnsi="宋体" w:eastAsia="宋体" w:cs="宋体"/>
          <w:b/>
          <w:bCs/>
          <w:sz w:val="24"/>
          <w:szCs w:val="24"/>
          <w:lang w:eastAsia="zh-CN"/>
        </w:rPr>
        <w:t>强化建筑垃圾分类管理处置宣传引导。</w:t>
      </w:r>
      <w:r>
        <w:rPr>
          <w:rFonts w:ascii="宋体" w:hAnsi="宋体" w:eastAsia="宋体" w:cs="宋体"/>
          <w:sz w:val="24"/>
          <w:szCs w:val="24"/>
          <w:lang w:eastAsia="zh-CN"/>
        </w:rPr>
        <w:t>加大宣传力度，完善长效机制，充分发挥舆论宣传功能，利用各种媒体开展广泛宣传，将建筑垃圾分类管理与处置工作的目的、意义宣传到位，在群众中树立建筑垃圾分类意识，形成环保共识，提高群众的环保意识和自觉性，从源头上减少违法倾倒行为，争取市民对专项整治工作的理解和支持，形成良好氛围。</w:t>
      </w:r>
    </w:p>
    <w:p w14:paraId="7692E609">
      <w:pPr>
        <w:pStyle w:val="8"/>
        <w:spacing w:before="182" w:line="360" w:lineRule="auto"/>
        <w:ind w:left="28" w:right="79" w:firstLine="574" w:firstLineChars="200"/>
        <w:outlineLvl w:val="1"/>
        <w:rPr>
          <w:rFonts w:hint="eastAsia"/>
          <w:b/>
          <w:bCs/>
          <w:spacing w:val="-7"/>
          <w:lang w:eastAsia="zh-CN"/>
        </w:rPr>
      </w:pPr>
      <w:bookmarkStart w:id="153" w:name="bookmark299"/>
      <w:bookmarkEnd w:id="153"/>
      <w:bookmarkStart w:id="154" w:name="_Toc186468143"/>
      <w:r>
        <w:rPr>
          <w:rFonts w:hint="eastAsia"/>
          <w:b/>
          <w:bCs/>
          <w:spacing w:val="-7"/>
          <w:lang w:eastAsia="zh-CN"/>
        </w:rPr>
        <w:t>第二节</w:t>
      </w:r>
      <w:r>
        <w:rPr>
          <w:b/>
          <w:bCs/>
          <w:spacing w:val="-7"/>
          <w:lang w:eastAsia="zh-CN"/>
        </w:rPr>
        <w:t xml:space="preserve"> 加强政策扶持</w:t>
      </w:r>
      <w:bookmarkEnd w:id="154"/>
      <w:bookmarkStart w:id="155" w:name="bookmark301"/>
      <w:bookmarkEnd w:id="155"/>
    </w:p>
    <w:p w14:paraId="636788A5">
      <w:pPr>
        <w:spacing w:before="201"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鼓励通过特许经营、投资补助、政府购买服务等方式，引导社会资本投资建筑垃圾资源化利用项目。鼓励建筑垃圾处置企业延伸产业链，全过程参与建设工程拆除、建筑垃圾收集与资源化利用各环节，推动建筑垃圾资源化利用规模化、高效化、一体化发展。鼓励现有的资源化利用企业扩大规模、进行技术革新和设备升级，开展建筑垃圾资源化利用技术和设备研发，提高资源化利用水平</w:t>
      </w:r>
      <w:r>
        <w:rPr>
          <w:rFonts w:ascii="宋体" w:hAnsi="宋体" w:eastAsia="宋体" w:cs="Times New Roman"/>
          <w:sz w:val="24"/>
          <w:szCs w:val="24"/>
          <w:lang w:eastAsia="zh-CN"/>
        </w:rPr>
        <w:t>。</w:t>
      </w:r>
    </w:p>
    <w:p w14:paraId="338C34D1">
      <w:pPr>
        <w:spacing w:before="201"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细化建筑垃圾资源化利用产品激励措施，明确政府投资项目在可使用建筑垃圾再生产品部位使用建筑垃圾再生产品占同类建材用量比例不低于10%；提出加快完善建筑垃圾再生产品市场推广机制，研究制订建筑垃圾再生产品工程应用技术标准，支持产业良性发展。</w:t>
      </w:r>
    </w:p>
    <w:p w14:paraId="07F9A655">
      <w:pPr>
        <w:pStyle w:val="8"/>
        <w:spacing w:before="182" w:line="360" w:lineRule="auto"/>
        <w:ind w:left="28" w:right="79" w:firstLine="574" w:firstLineChars="200"/>
        <w:outlineLvl w:val="1"/>
        <w:rPr>
          <w:rFonts w:hint="eastAsia"/>
          <w:b/>
          <w:bCs/>
          <w:spacing w:val="-7"/>
          <w:lang w:eastAsia="zh-CN"/>
        </w:rPr>
      </w:pPr>
      <w:bookmarkStart w:id="156" w:name="bookmark305"/>
      <w:bookmarkEnd w:id="156"/>
      <w:bookmarkStart w:id="157" w:name="_Toc186468144"/>
      <w:r>
        <w:rPr>
          <w:rFonts w:hint="eastAsia"/>
          <w:b/>
          <w:bCs/>
          <w:spacing w:val="-7"/>
          <w:lang w:eastAsia="zh-CN"/>
        </w:rPr>
        <w:t>第三节</w:t>
      </w:r>
      <w:r>
        <w:rPr>
          <w:b/>
          <w:bCs/>
          <w:spacing w:val="-7"/>
          <w:lang w:eastAsia="zh-CN"/>
        </w:rPr>
        <w:t xml:space="preserve"> 加强要素保障</w:t>
      </w:r>
      <w:bookmarkEnd w:id="157"/>
    </w:p>
    <w:p w14:paraId="04008694">
      <w:pPr>
        <w:spacing w:before="201" w:line="360" w:lineRule="auto"/>
        <w:ind w:firstLine="480" w:firstLineChars="200"/>
        <w:rPr>
          <w:rFonts w:hint="eastAsia" w:ascii="宋体" w:hAnsi="宋体" w:eastAsia="宋体" w:cs="Times New Roman"/>
          <w:sz w:val="24"/>
          <w:szCs w:val="24"/>
          <w:lang w:eastAsia="zh-CN"/>
        </w:rPr>
      </w:pPr>
      <w:bookmarkStart w:id="158" w:name="bookmark307"/>
      <w:bookmarkEnd w:id="158"/>
      <w:bookmarkStart w:id="159" w:name="bookmark315"/>
      <w:bookmarkEnd w:id="159"/>
      <w:r>
        <w:rPr>
          <w:rFonts w:ascii="宋体" w:hAnsi="宋体" w:eastAsia="宋体" w:cs="Times New Roman"/>
          <w:sz w:val="24"/>
          <w:szCs w:val="24"/>
          <w:lang w:eastAsia="zh-CN"/>
        </w:rPr>
        <w:t>（一）加强建筑垃圾资源化利用项目用地保障，纳入自然资源国土空间规划。</w:t>
      </w:r>
    </w:p>
    <w:p w14:paraId="23378A26">
      <w:pPr>
        <w:spacing w:before="201" w:line="360" w:lineRule="auto"/>
        <w:ind w:firstLine="480" w:firstLineChars="200"/>
        <w:rPr>
          <w:rFonts w:hint="eastAsia" w:ascii="宋体" w:hAnsi="宋体" w:eastAsia="宋体" w:cs="Times New Roman"/>
          <w:sz w:val="24"/>
          <w:szCs w:val="24"/>
          <w:lang w:eastAsia="zh-CN"/>
        </w:rPr>
      </w:pPr>
      <w:r>
        <w:rPr>
          <w:rFonts w:ascii="宋体" w:hAnsi="宋体" w:eastAsia="宋体" w:cs="Times New Roman"/>
          <w:sz w:val="24"/>
          <w:szCs w:val="24"/>
          <w:lang w:eastAsia="zh-CN"/>
        </w:rPr>
        <w:t>（二）充分发挥市场的调节作用，确保建筑垃圾处置过程中市场化运行。</w:t>
      </w:r>
    </w:p>
    <w:p w14:paraId="03DB9B57">
      <w:pPr>
        <w:spacing w:before="201" w:line="360" w:lineRule="auto"/>
        <w:ind w:firstLine="480" w:firstLineChars="200"/>
        <w:rPr>
          <w:rFonts w:hint="eastAsia" w:ascii="宋体" w:hAnsi="宋体" w:eastAsia="宋体" w:cs="Times New Roman"/>
          <w:sz w:val="24"/>
          <w:szCs w:val="24"/>
          <w:lang w:eastAsia="zh-CN"/>
        </w:rPr>
      </w:pPr>
      <w:r>
        <w:rPr>
          <w:rFonts w:ascii="宋体" w:hAnsi="宋体" w:eastAsia="宋体" w:cs="Times New Roman"/>
          <w:sz w:val="24"/>
          <w:szCs w:val="24"/>
          <w:lang w:eastAsia="zh-CN"/>
        </w:rPr>
        <w:t>（三）强加专业队伍建设，由城市管理环境卫生部门负责，组建建筑垃圾管理执法专业队伍，加强建筑垃圾排放、运输、收纳处置的监管执法。</w:t>
      </w:r>
    </w:p>
    <w:p w14:paraId="1D46138E">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(一)资金保障</w:t>
      </w:r>
    </w:p>
    <w:p w14:paraId="7F09D527">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进一步扩大资金来源，多渠道筹集资金。一方面，政府加大建筑垃圾处理市政设施的财政投入。另一方面，积极推动社会资本参与建筑垃圾填埋处理的建设经营。通过特许经营、投资补助、政府购买服务等多种方式，鼓励社会资本参与建筑垃圾的源头减量、末端填埋处理工作。运用市场化运作方式，吸引民间资本和投资机构共同投资建筑垃圾埋处理项目，银行可适当的提供一定的贷款优惠。鼓励金融机构为特许经营项目提供财务顾问、融资顾问、银团贷款等金融服务。政策性、开发性金融机构可给予特许经营项目差异化信贷支持。</w:t>
      </w:r>
    </w:p>
    <w:p w14:paraId="44763B55">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(二)应急保障</w:t>
      </w:r>
    </w:p>
    <w:p w14:paraId="06CEFA42">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 制定应急响应程序。根据事故的大小和发展态势，明确应急指挥、应急行动、资源调配、应急避险、扩大应急等响应程序。事故应急处理和抢险基本结束后，应急指挥中心应立即做好受伤人员的救治、慰问和善后处理工作，并配合相关部门对事故进行调查分析，事故现场得以控制，环境符合有关标准，导致次生、衍生事故隐思消除后，经事故现场应急指挥中心批准后现场应急结束。</w:t>
      </w:r>
    </w:p>
    <w:p w14:paraId="4D63694D">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 健全应急保障措施。保障现场通信流畅，遇到紧急事故及时采取应对措施，所有信息上报应急指挥中心办公室并建立严密的联系网络。组建应急队伍，各建筑垃圾消纳处理场应具备一定的应急处置能力，并根据应急工作需要，提高装备水平，增强队伍实战能力。队长负责现场人员调配、材料管理、抢险救援等全面工作，队员由各场职工兼职应急救援队伍组成。场内应配备安全事故应急常用物资和设备。</w:t>
      </w:r>
    </w:p>
    <w:p w14:paraId="79CB9911">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(三)技术保障</w:t>
      </w:r>
    </w:p>
    <w:p w14:paraId="12BC292C">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 建立综合管理信息系统，实现建筑垃圾分类、储存、运输、堆填、再生利用各环节政策协调、公开和共享。以点带面、稳步推进，落实建筑垃圾管理、控制、监督、利用等政策法规，有效实现建筑垃圾减量化和再利用。</w:t>
      </w:r>
    </w:p>
    <w:p w14:paraId="57844A89">
      <w:pPr>
        <w:spacing w:line="360" w:lineRule="auto"/>
        <w:ind w:firstLine="480" w:firstLineChars="200"/>
        <w:rPr>
          <w:rFonts w:hint="eastAsia" w:ascii="宋体" w:hAnsi="宋体" w:eastAsia="宋体"/>
          <w:sz w:val="24"/>
          <w:szCs w:val="24"/>
          <w:lang w:eastAsia="zh-CN"/>
        </w:rPr>
      </w:pPr>
      <w:r>
        <w:rPr>
          <w:rFonts w:hint="eastAsia" w:ascii="宋体" w:hAnsi="宋体" w:eastAsia="宋体" w:cs="Times New Roman"/>
          <w:sz w:val="24"/>
          <w:szCs w:val="24"/>
          <w:lang w:eastAsia="zh-CN"/>
        </w:rPr>
        <w:t>(2) 加强对建筑垃圾处置场所运营期间和封场之后的环境质量影响评价和监控。通过严格核实建设单位提供的垃圾处理工艺和环保设施资料,从科学环保角度确认工艺过程与环保设施的环境保证性、可靠性和先进性。为环境影响预测提供基础数据，并为环保对策和今后的环境管理工作提供依据和指导作用。具体应着重从以下四个方面落实:消纳场渗滤液对地表水和地下水环境质量影响评价和监控;消纳场产生</w:t>
      </w:r>
      <w:r>
        <w:rPr>
          <w:rFonts w:hint="eastAsia" w:ascii="宋体" w:hAnsi="宋体" w:eastAsia="宋体"/>
          <w:sz w:val="24"/>
          <w:szCs w:val="24"/>
          <w:lang w:eastAsia="zh-CN"/>
        </w:rPr>
        <w:t>的气体对周围居民的影响评价和监控;消纳场建设期及运营期对生态环境要素的影响评价和监控;设置专门管理机构，制定严格措施，并配备必要的设施，确保处置场运行的安全性和环保性。例如处理场应执行24小时值班制，指挥运渣车按计划点位倾倒垃圾，并用推土机、碾压机等机械工具将弃土推平压实，既利于弃土堆表层的板结，有效减少扬尘及土体垮塌，又能有效延长消纳场服役年限。同时还应重点防止停止运营后出现堆积垃圾垮塌、滑坡等衍生地质灾害。</w:t>
      </w:r>
    </w:p>
    <w:p w14:paraId="092C438A">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(四)组织保障</w:t>
      </w:r>
    </w:p>
    <w:p w14:paraId="376609C8">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(1) 加强组织领导，健全工作机制，明确管理职责。县政府结合全县城镇化进程，依据省建筑垃圾处理的法律法规，由县政府和县城市综合管理执法局会同相关部门，成立由各方负责人牵头的建筑垃圾综合治理工作领导小组，进行统筹协调管理;明确各政府部门职责和分工，特别是明确建筑垃圾的分类、储存、运输、堆填等过程中的监管和堆填区的规划、建设及营运管理,落实对回收、再生利用建筑垃圾的产业支持和财税等激励措施。</w:t>
      </w:r>
    </w:p>
    <w:p w14:paraId="609212B3">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(2) 完善制度建设。建立运输处置行政许可制度建筑垃圾主管部门应建立完善建筑排放运输、消纳许可制度，健全外埠运输企业和车辆进入本县运营管理政策。承运建筑垃圾的企业要具备固定的办公场所和车辆停放场所等，核发统一标识和准运证件，主管部门严格管理，纳入重点监管范围，初步实现全程跟踪。制定建筑垃圾运输行业管理规范和服务标准，鼓励组建绿色车队，规范运输行为，减少建筑垃圾运输遗撒扬尘和乱倒乱卸现象，全面推进运输规范化管理。此外，加大对违法行为的执法力度，建立跨部门合作、常态化检查、执法为主的长效管理机制。</w:t>
      </w:r>
    </w:p>
    <w:p w14:paraId="59FBDC1A">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(五)社会保障</w:t>
      </w:r>
    </w:p>
    <w:p w14:paraId="2E37BEC4">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一方面，加大人才发展资金投入，加强对建设监理、设计、施工领域工作人员的培训力度，发挥建设行业社会团体作用，定期举办研讨班，积极进行建筑垃圾总量控制与循环利用的宣贯交流和培训;建立建设管理、设计、施工和监理人员的多向交流制度，选派不同专业的管理人员和施工人员到建筑垃圾处理与利用相关单位考察锻炼,将有利于建筑垃圾总量控制与循环利用的新技术、新工艺、新材料、新设备及时、高效地应用于建筑工程。</w:t>
      </w:r>
    </w:p>
    <w:p w14:paraId="3B7C9EC2">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另一方面，加强宣传教育工作，提高人们的资源、环境意识。加大再生建材产品示范工程的宣传力度，改变人们的传统观念，营造再生建材推广应用的市场环境。要让相关人员都了解建筑垃圾是一种可利用的资源，大力宣传和推广建筑垃圾资源化再生的最新技术和工艺方法，鼓励全社会利用再生建材或产品。建立更新再生建材产品目录，并将其纳入绿色建材和绿色建筑考核范畴要求在政府投资工程中优先使用绿色再生建材产品。</w:t>
      </w:r>
    </w:p>
    <w:p w14:paraId="32D059D3">
      <w:pPr>
        <w:pStyle w:val="8"/>
        <w:spacing w:before="182" w:line="360" w:lineRule="auto"/>
        <w:ind w:left="28" w:right="79" w:firstLine="574" w:firstLineChars="200"/>
        <w:outlineLvl w:val="1"/>
        <w:rPr>
          <w:rFonts w:hint="eastAsia"/>
          <w:b/>
          <w:bCs/>
          <w:spacing w:val="-7"/>
          <w:lang w:eastAsia="zh-CN"/>
        </w:rPr>
      </w:pPr>
      <w:bookmarkStart w:id="160" w:name="_Toc186468145"/>
      <w:r>
        <w:rPr>
          <w:rFonts w:hint="eastAsia"/>
          <w:b/>
          <w:bCs/>
          <w:spacing w:val="-7"/>
          <w:lang w:eastAsia="zh-CN"/>
        </w:rPr>
        <w:t>第四节</w:t>
      </w:r>
      <w:r>
        <w:rPr>
          <w:b/>
          <w:bCs/>
          <w:spacing w:val="-7"/>
          <w:lang w:eastAsia="zh-CN"/>
        </w:rPr>
        <w:t xml:space="preserve"> 建立监管机制</w:t>
      </w:r>
      <w:bookmarkEnd w:id="160"/>
      <w:bookmarkStart w:id="161" w:name="bookmark317"/>
      <w:bookmarkEnd w:id="161"/>
    </w:p>
    <w:p w14:paraId="4A7C7D0C">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设置专门管理机构，制定严格措施，并配备必要设施，确保消纳场运行的安全性和环保性，</w:t>
      </w:r>
      <w:r>
        <w:rPr>
          <w:rFonts w:ascii="宋体" w:hAnsi="宋体" w:eastAsia="宋体"/>
          <w:sz w:val="24"/>
          <w:szCs w:val="24"/>
          <w:lang w:eastAsia="zh-CN"/>
        </w:rPr>
        <w:t>快速发现和处置建筑垃圾乱堆乱放问题，采取有力措施有效遏制辖区内建筑垃圾乱堆乱放现象，按照“零容忍、严惩处、溯源头”的原则，严厉打击偷倒偷运。</w:t>
      </w:r>
    </w:p>
    <w:p w14:paraId="2B1EC3C1">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（一）</w:t>
      </w:r>
      <w:r>
        <w:rPr>
          <w:rFonts w:ascii="宋体" w:hAnsi="宋体" w:eastAsia="宋体"/>
          <w:b/>
          <w:bCs/>
          <w:sz w:val="24"/>
          <w:szCs w:val="24"/>
          <w:lang w:eastAsia="zh-CN"/>
        </w:rPr>
        <w:t>监管平台</w:t>
      </w:r>
      <w:r>
        <w:rPr>
          <w:rFonts w:hint="eastAsia" w:ascii="宋体" w:hAnsi="宋体" w:eastAsia="宋体"/>
          <w:b/>
          <w:bCs/>
          <w:sz w:val="24"/>
          <w:szCs w:val="24"/>
          <w:lang w:eastAsia="zh-CN"/>
        </w:rPr>
        <w:t>体系</w:t>
      </w:r>
    </w:p>
    <w:p w14:paraId="3451A169">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主要依据建筑垃圾管理地方性法规及管理办法，实现对建筑垃圾企业、车辆、驾驶员、调配场、弃置场、资源化利用企业等的审批与备案管理以及建筑垃圾运输过程的审批管理等。</w:t>
      </w:r>
    </w:p>
    <w:p w14:paraId="36D67083">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同时，对车辆清运路线的整个过程进行在线监控，对异常作业问题进行在线预警。通过在建筑垃圾运输车辆加装后盖开启传感器设备，对车辆在非产生点、处置点开启后盖的行为进行实时报警。通过对开启状态的实时监控，可有效遏制车辆随意倾倒行为的发生，对无主垃圾的产生源进行有效追踪和处罚，通过共享公安已安装的建筑垃圾车辆GPS数据，对车辆清运位置、清运轨迹等进行动态监控。对已安装GPS设备的车辆全部保留复用，计划新增车辆智能化管理设备的车辆统一要求安装北斗车载终端。通过车辆安装重量传感器，对车辆实时载重情况进行全程动态监测，同时系统可根据单车的核定载重量进行实时分析，并产生预警信息。</w:t>
      </w:r>
    </w:p>
    <w:p w14:paraId="5780A625">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（二）</w:t>
      </w:r>
      <w:r>
        <w:rPr>
          <w:rFonts w:ascii="宋体" w:hAnsi="宋体" w:eastAsia="宋体"/>
          <w:b/>
          <w:bCs/>
          <w:sz w:val="24"/>
          <w:szCs w:val="24"/>
          <w:lang w:eastAsia="zh-CN"/>
        </w:rPr>
        <w:t>群众监督管理</w:t>
      </w:r>
    </w:p>
    <w:p w14:paraId="1B119D42">
      <w:pPr>
        <w:spacing w:before="101" w:line="360" w:lineRule="auto"/>
        <w:ind w:firstLine="472"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城管局应设立专门的投诉举报窗口或平台，设立建筑垃圾管理违规行为的举报电话和网址，鼓励群众对建筑垃圾偷倒乱倒、超重运输等行为进行监督，并对社会公众投诉举报的违法违规行为依法进行审查处理。违法违规行为一经查实，可依据法律采取批评教育、罚款等措施，情节严重且屡教不改的，可将责任单位名称、联系电话、责任人等信息，通过公众媒体向社会公布，对提供有效举报信息的群众设立奖金。</w:t>
      </w:r>
    </w:p>
    <w:p w14:paraId="4AF3DECC">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（三）</w:t>
      </w:r>
      <w:r>
        <w:rPr>
          <w:rFonts w:ascii="宋体" w:hAnsi="宋体" w:eastAsia="宋体"/>
          <w:b/>
          <w:bCs/>
          <w:sz w:val="24"/>
          <w:szCs w:val="24"/>
          <w:lang w:eastAsia="zh-CN"/>
        </w:rPr>
        <w:t>考核评价机制</w:t>
      </w:r>
    </w:p>
    <w:p w14:paraId="57018E7A">
      <w:pPr>
        <w:spacing w:line="360" w:lineRule="auto"/>
        <w:ind w:firstLine="472"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考核管理实现对作业主体的日常性考核情况的数字化管理，通过建立考核标准、考核表及规范的考核流程，实现对日常考核工作的规范化管理，同时便于后期对考核结果的统计分析。执法管理实现与现有公安警务通、城管执法的城管通上报数据的无缝对接通过定义统一的标准、形成对应扣分最终汇总成执法结果供相关职能部门查看和统计分析。</w:t>
      </w:r>
    </w:p>
    <w:p w14:paraId="456E48E0">
      <w:pPr>
        <w:pStyle w:val="116"/>
        <w:spacing w:before="38" w:line="360" w:lineRule="auto"/>
        <w:ind w:left="1800" w:right="135" w:firstLine="0" w:firstLineChars="0"/>
        <w:rPr>
          <w:rFonts w:hint="eastAsia" w:ascii="宋体" w:hAnsi="宋体" w:eastAsia="宋体" w:cs="宋体"/>
          <w:color w:val="FF0000"/>
          <w:sz w:val="24"/>
          <w:szCs w:val="24"/>
          <w:lang w:eastAsia="zh-CN"/>
        </w:rPr>
      </w:pPr>
    </w:p>
    <w:p w14:paraId="0189A539">
      <w:pPr>
        <w:spacing w:before="38" w:line="360" w:lineRule="auto"/>
        <w:ind w:right="135" w:firstLine="720"/>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14:paraId="1EB10011">
      <w:pPr>
        <w:spacing w:before="38" w:line="360" w:lineRule="auto"/>
        <w:ind w:right="135" w:firstLine="720"/>
        <w:rPr>
          <w:rFonts w:hint="eastAsia" w:ascii="宋体" w:hAnsi="宋体" w:eastAsia="宋体" w:cs="宋体"/>
          <w:sz w:val="24"/>
          <w:szCs w:val="24"/>
          <w:lang w:eastAsia="zh-CN"/>
        </w:rPr>
      </w:pPr>
    </w:p>
    <w:p w14:paraId="3F95378F">
      <w:pPr>
        <w:pStyle w:val="8"/>
        <w:spacing w:before="182" w:line="360" w:lineRule="auto"/>
        <w:ind w:left="28" w:right="79"/>
        <w:jc w:val="center"/>
        <w:outlineLvl w:val="0"/>
        <w:rPr>
          <w:rFonts w:hint="eastAsia"/>
          <w:b/>
          <w:bCs/>
          <w:spacing w:val="-5"/>
          <w:sz w:val="31"/>
          <w:szCs w:val="31"/>
          <w:lang w:eastAsia="zh-CN"/>
        </w:rPr>
      </w:pPr>
      <w:bookmarkStart w:id="162" w:name="bookmark343"/>
      <w:bookmarkEnd w:id="162"/>
      <w:bookmarkStart w:id="163" w:name="_Toc186468146"/>
      <w:r>
        <w:rPr>
          <w:b/>
          <w:bCs/>
          <w:spacing w:val="-5"/>
          <w:sz w:val="31"/>
          <w:szCs w:val="31"/>
          <w:lang w:eastAsia="zh-CN"/>
        </w:rPr>
        <w:t>附图</w:t>
      </w:r>
      <w:bookmarkEnd w:id="163"/>
    </w:p>
    <w:p w14:paraId="144355D0">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附图一：区位分析图</w:t>
      </w:r>
    </w:p>
    <w:p w14:paraId="54C96644">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附图二：夹江县</w:t>
      </w:r>
      <w:r>
        <w:rPr>
          <w:rFonts w:ascii="宋体" w:hAnsi="宋体" w:eastAsia="宋体"/>
          <w:b/>
          <w:bCs/>
          <w:sz w:val="24"/>
          <w:szCs w:val="24"/>
          <w:lang w:eastAsia="zh-CN"/>
        </w:rPr>
        <w:t>城市建筑垃圾设施现状图</w:t>
      </w:r>
    </w:p>
    <w:p w14:paraId="3189DF15">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附图三：夹江县</w:t>
      </w:r>
      <w:r>
        <w:rPr>
          <w:rFonts w:ascii="宋体" w:hAnsi="宋体" w:eastAsia="宋体"/>
          <w:b/>
          <w:bCs/>
          <w:sz w:val="24"/>
          <w:szCs w:val="24"/>
          <w:lang w:eastAsia="zh-CN"/>
        </w:rPr>
        <w:t>城市建筑垃圾处置利用设施规划图</w:t>
      </w:r>
    </w:p>
    <w:p w14:paraId="4D6519D1">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附图四：夹江县</w:t>
      </w:r>
      <w:r>
        <w:rPr>
          <w:rFonts w:ascii="宋体" w:hAnsi="宋体" w:eastAsia="宋体"/>
          <w:b/>
          <w:bCs/>
          <w:sz w:val="24"/>
          <w:szCs w:val="24"/>
          <w:lang w:eastAsia="zh-CN"/>
        </w:rPr>
        <w:t>建筑垃圾环境防治管控规划图</w:t>
      </w:r>
    </w:p>
    <w:p w14:paraId="3A9C3BF8">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附图五：夹江县</w:t>
      </w:r>
      <w:r>
        <w:rPr>
          <w:rFonts w:ascii="宋体" w:hAnsi="宋体" w:eastAsia="宋体"/>
          <w:b/>
          <w:bCs/>
          <w:sz w:val="24"/>
          <w:szCs w:val="24"/>
          <w:lang w:eastAsia="zh-CN"/>
        </w:rPr>
        <w:t>中心城区建筑垃圾运输路线规图</w:t>
      </w:r>
    </w:p>
    <w:p w14:paraId="629D34D1">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附图六：夹江县</w:t>
      </w:r>
      <w:r>
        <w:rPr>
          <w:rFonts w:ascii="宋体" w:hAnsi="宋体" w:eastAsia="宋体"/>
          <w:b/>
          <w:bCs/>
          <w:sz w:val="24"/>
          <w:szCs w:val="24"/>
          <w:lang w:eastAsia="zh-CN"/>
        </w:rPr>
        <w:t>中心城区建筑垃圾环境防治管控规划图</w:t>
      </w:r>
    </w:p>
    <w:p w14:paraId="16B57928">
      <w:pPr>
        <w:spacing w:line="360" w:lineRule="auto"/>
        <w:ind w:firstLine="482" w:firstLineChars="200"/>
        <w:rPr>
          <w:rFonts w:hint="eastAsia" w:ascii="宋体" w:hAnsi="宋体" w:eastAsia="宋体"/>
          <w:b/>
          <w:bCs/>
          <w:sz w:val="24"/>
          <w:szCs w:val="24"/>
          <w:lang w:eastAsia="zh-CN"/>
        </w:rPr>
      </w:pPr>
      <w:r>
        <w:rPr>
          <w:rFonts w:hint="eastAsia" w:ascii="宋体" w:hAnsi="宋体" w:eastAsia="宋体"/>
          <w:b/>
          <w:bCs/>
          <w:sz w:val="24"/>
          <w:szCs w:val="24"/>
          <w:lang w:eastAsia="zh-CN"/>
        </w:rPr>
        <w:t>附图七：</w:t>
      </w:r>
      <w:r>
        <w:rPr>
          <w:rFonts w:ascii="宋体" w:hAnsi="宋体" w:eastAsia="宋体"/>
          <w:b/>
          <w:bCs/>
          <w:sz w:val="24"/>
          <w:szCs w:val="24"/>
          <w:lang w:eastAsia="zh-CN"/>
        </w:rPr>
        <w:t>近期建设项目规划图</w:t>
      </w:r>
    </w:p>
    <w:p w14:paraId="079E2A0E">
      <w:pPr>
        <w:pStyle w:val="8"/>
        <w:spacing w:before="182" w:line="360" w:lineRule="auto"/>
        <w:ind w:right="79"/>
        <w:rPr>
          <w:rFonts w:hint="eastAsia"/>
          <w:color w:val="auto"/>
          <w:sz w:val="24"/>
          <w:szCs w:val="24"/>
          <w:lang w:eastAsia="zh-CN"/>
        </w:rPr>
      </w:pPr>
    </w:p>
    <w:sectPr>
      <w:pgSz w:w="11906" w:h="16838"/>
      <w:pgMar w:top="1225" w:right="1332" w:bottom="1225" w:left="1786" w:header="850" w:footer="85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18DC">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E9E213">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5EE9E213">
                    <w:pPr>
                      <w:pStyle w:val="14"/>
                    </w:pPr>
                    <w:r>
                      <w:fldChar w:fldCharType="begin"/>
                    </w:r>
                    <w:r>
                      <w:instrText xml:space="preserve"> PAGE  \* MERGEFORMAT </w:instrText>
                    </w:r>
                    <w:r>
                      <w:fldChar w:fldCharType="separate"/>
                    </w:r>
                    <w:r>
                      <w:t>1</w:t>
                    </w:r>
                    <w:r>
                      <w:fldChar w:fldCharType="end"/>
                    </w:r>
                  </w:p>
                </w:txbxContent>
              </v:textbox>
            </v:shape>
          </w:pict>
        </mc:Fallback>
      </mc:AlternateContent>
    </w:r>
  </w:p>
  <w:p w14:paraId="492C538A">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59F7B">
    <w:pPr>
      <w:pStyle w:val="1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575123178"/>
                            <w:docPartObj>
                              <w:docPartGallery w:val="autotext"/>
                            </w:docPartObj>
                          </w:sdtPr>
                          <w:sdtContent>
                            <w:p w14:paraId="0E8C6A5E">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1972335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sdt>
                    <w:sdtPr>
                      <w:id w:val="-575123178"/>
                      <w:docPartObj>
                        <w:docPartGallery w:val="autotext"/>
                      </w:docPartObj>
                    </w:sdtPr>
                    <w:sdtContent>
                      <w:p w14:paraId="0E8C6A5E">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19723352"/>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484A">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362013335"/>
                            <w:docPartObj>
                              <w:docPartGallery w:val="autotext"/>
                            </w:docPartObj>
                          </w:sdtPr>
                          <w:sdtContent>
                            <w:p w14:paraId="03DF8394">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4420033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sdt>
                    <w:sdtPr>
                      <w:id w:val="1362013335"/>
                      <w:docPartObj>
                        <w:docPartGallery w:val="autotext"/>
                      </w:docPartObj>
                    </w:sdtPr>
                    <w:sdtContent>
                      <w:p w14:paraId="03DF8394">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4420033C"/>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649D8">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868596353"/>
                            <w:docPartObj>
                              <w:docPartGallery w:val="autotext"/>
                            </w:docPartObj>
                          </w:sdtPr>
                          <w:sdtContent>
                            <w:p w14:paraId="7749AD24">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6C8D826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sdt>
                    <w:sdtPr>
                      <w:id w:val="-868596353"/>
                      <w:docPartObj>
                        <w:docPartGallery w:val="autotext"/>
                      </w:docPartObj>
                    </w:sdtPr>
                    <w:sdtContent>
                      <w:p w14:paraId="7749AD24">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6C8D8266"/>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CCBC5">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183359035"/>
                            <w:docPartObj>
                              <w:docPartGallery w:val="autotext"/>
                            </w:docPartObj>
                          </w:sdtPr>
                          <w:sdtContent>
                            <w:p w14:paraId="17B1EE0A">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2892D87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sdt>
                    <w:sdtPr>
                      <w:id w:val="-1183359035"/>
                      <w:docPartObj>
                        <w:docPartGallery w:val="autotext"/>
                      </w:docPartObj>
                    </w:sdtPr>
                    <w:sdtContent>
                      <w:p w14:paraId="17B1EE0A">
                        <w:pPr>
                          <w:pStyle w:val="14"/>
                          <w:jc w:val="center"/>
                        </w:pPr>
                        <w:r>
                          <w:fldChar w:fldCharType="begin"/>
                        </w:r>
                        <w:r>
                          <w:instrText xml:space="preserve">PAGE   \* MERGEFORMAT</w:instrText>
                        </w:r>
                        <w:r>
                          <w:fldChar w:fldCharType="separate"/>
                        </w:r>
                        <w:r>
                          <w:rPr>
                            <w:lang w:val="zh-CN" w:eastAsia="zh-CN"/>
                          </w:rPr>
                          <w:t>2</w:t>
                        </w:r>
                        <w:r>
                          <w:fldChar w:fldCharType="end"/>
                        </w:r>
                      </w:p>
                    </w:sdtContent>
                  </w:sdt>
                  <w:p w14:paraId="2892D874"/>
                </w:txbxContent>
              </v:textbox>
            </v:shape>
          </w:pict>
        </mc:Fallback>
      </mc:AlternateContent>
    </w:r>
  </w:p>
  <w:p w14:paraId="332FA93F">
    <w:pPr>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EEED">
    <w:pPr>
      <w:pStyle w:val="14"/>
      <w:jc w:val="center"/>
      <w:rPr>
        <w:rFonts w:hint="eastAsia" w:ascii="宋体" w:hAnsi="宋体" w:eastAsia="宋体"/>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239099053"/>
                            <w:docPartObj>
                              <w:docPartGallery w:val="autotext"/>
                            </w:docPartObj>
                          </w:sdtPr>
                          <w:sdtEndPr>
                            <w:rPr>
                              <w:rFonts w:ascii="宋体" w:hAnsi="宋体" w:eastAsia="宋体"/>
                              <w:sz w:val="21"/>
                              <w:szCs w:val="21"/>
                            </w:rPr>
                          </w:sdtEndPr>
                          <w:sdtContent>
                            <w:p w14:paraId="7DDBC54D">
                              <w:pPr>
                                <w:pStyle w:val="14"/>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eastAsia="zh-CN"/>
                                </w:rPr>
                                <w:t>2</w:t>
                              </w:r>
                              <w:r>
                                <w:rPr>
                                  <w:rFonts w:ascii="宋体" w:hAnsi="宋体" w:eastAsia="宋体"/>
                                  <w:sz w:val="21"/>
                                  <w:szCs w:val="21"/>
                                </w:rPr>
                                <w:fldChar w:fldCharType="end"/>
                              </w:r>
                            </w:p>
                          </w:sdtContent>
                        </w:sdt>
                        <w:p w14:paraId="20E1E8C3">
                          <w:pPr>
                            <w:rPr>
                              <w:rFonts w:ascii="宋体" w:hAnsi="宋体" w:eastAsia="宋体"/>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sdt>
                    <w:sdtPr>
                      <w:id w:val="-1239099053"/>
                      <w:docPartObj>
                        <w:docPartGallery w:val="autotext"/>
                      </w:docPartObj>
                    </w:sdtPr>
                    <w:sdtEndPr>
                      <w:rPr>
                        <w:rFonts w:ascii="宋体" w:hAnsi="宋体" w:eastAsia="宋体"/>
                        <w:sz w:val="21"/>
                        <w:szCs w:val="21"/>
                      </w:rPr>
                    </w:sdtEndPr>
                    <w:sdtContent>
                      <w:p w14:paraId="7DDBC54D">
                        <w:pPr>
                          <w:pStyle w:val="14"/>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eastAsia="zh-CN"/>
                          </w:rPr>
                          <w:t>2</w:t>
                        </w:r>
                        <w:r>
                          <w:rPr>
                            <w:rFonts w:ascii="宋体" w:hAnsi="宋体" w:eastAsia="宋体"/>
                            <w:sz w:val="21"/>
                            <w:szCs w:val="21"/>
                          </w:rPr>
                          <w:fldChar w:fldCharType="end"/>
                        </w:r>
                      </w:p>
                    </w:sdtContent>
                  </w:sdt>
                  <w:p w14:paraId="20E1E8C3">
                    <w:pPr>
                      <w:rPr>
                        <w:rFonts w:ascii="宋体" w:hAnsi="宋体" w:eastAsia="宋体"/>
                        <w:sz w:val="21"/>
                        <w:szCs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9BD32">
    <w:pPr>
      <w:pStyle w:val="15"/>
      <w:jc w:val="left"/>
    </w:pPr>
  </w:p>
  <w:p w14:paraId="198195B7">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BF57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4C171">
    <w:pPr>
      <w:pStyle w:val="8"/>
      <w:spacing w:before="16" w:line="218" w:lineRule="auto"/>
      <w:ind w:left="26"/>
      <w:rPr>
        <w:rFonts w:hint="eastAsia"/>
        <w:sz w:val="18"/>
        <w:szCs w:val="18"/>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BB1F0">
    <w:pPr>
      <w:pStyle w:val="15"/>
      <w:jc w:val="left"/>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E621">
    <w:pP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BC556">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autoHyphenation/>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zM2ZhYWE2NDM5ZDNhMTQ5ZjE5NmQ1YjM5OGY0NmQifQ=="/>
  </w:docVars>
  <w:rsids>
    <w:rsidRoot w:val="00693914"/>
    <w:rsid w:val="000010F7"/>
    <w:rsid w:val="00001C34"/>
    <w:rsid w:val="00003A90"/>
    <w:rsid w:val="000067B2"/>
    <w:rsid w:val="00013EFB"/>
    <w:rsid w:val="00016309"/>
    <w:rsid w:val="0002261C"/>
    <w:rsid w:val="00022C79"/>
    <w:rsid w:val="00023D88"/>
    <w:rsid w:val="0002483A"/>
    <w:rsid w:val="00024A55"/>
    <w:rsid w:val="0002581D"/>
    <w:rsid w:val="000261BF"/>
    <w:rsid w:val="0002655C"/>
    <w:rsid w:val="00031FA2"/>
    <w:rsid w:val="00033A3B"/>
    <w:rsid w:val="00033C00"/>
    <w:rsid w:val="00037CFB"/>
    <w:rsid w:val="00042064"/>
    <w:rsid w:val="00042783"/>
    <w:rsid w:val="00042A7E"/>
    <w:rsid w:val="0004440C"/>
    <w:rsid w:val="0004661A"/>
    <w:rsid w:val="00046DBE"/>
    <w:rsid w:val="0004765C"/>
    <w:rsid w:val="00050F45"/>
    <w:rsid w:val="000518CE"/>
    <w:rsid w:val="00052252"/>
    <w:rsid w:val="000554C1"/>
    <w:rsid w:val="00057D5F"/>
    <w:rsid w:val="00057DC4"/>
    <w:rsid w:val="00061DC6"/>
    <w:rsid w:val="00061E8F"/>
    <w:rsid w:val="0006668C"/>
    <w:rsid w:val="00067047"/>
    <w:rsid w:val="00071426"/>
    <w:rsid w:val="00071708"/>
    <w:rsid w:val="00072B37"/>
    <w:rsid w:val="000754D4"/>
    <w:rsid w:val="0007677C"/>
    <w:rsid w:val="000779E1"/>
    <w:rsid w:val="0008068A"/>
    <w:rsid w:val="00082173"/>
    <w:rsid w:val="00083250"/>
    <w:rsid w:val="00083297"/>
    <w:rsid w:val="00083553"/>
    <w:rsid w:val="00084A23"/>
    <w:rsid w:val="00085021"/>
    <w:rsid w:val="00085CE9"/>
    <w:rsid w:val="00087F86"/>
    <w:rsid w:val="00092D41"/>
    <w:rsid w:val="000A05AA"/>
    <w:rsid w:val="000A0BC8"/>
    <w:rsid w:val="000A3D60"/>
    <w:rsid w:val="000A62ED"/>
    <w:rsid w:val="000A7240"/>
    <w:rsid w:val="000B2ED7"/>
    <w:rsid w:val="000B3057"/>
    <w:rsid w:val="000B3FD3"/>
    <w:rsid w:val="000B5FB1"/>
    <w:rsid w:val="000B68E0"/>
    <w:rsid w:val="000C1173"/>
    <w:rsid w:val="000C1D87"/>
    <w:rsid w:val="000C2A41"/>
    <w:rsid w:val="000D12CC"/>
    <w:rsid w:val="000D1FB6"/>
    <w:rsid w:val="000D3BC1"/>
    <w:rsid w:val="000D54D7"/>
    <w:rsid w:val="000D67E2"/>
    <w:rsid w:val="000E0314"/>
    <w:rsid w:val="000E5893"/>
    <w:rsid w:val="000E58DE"/>
    <w:rsid w:val="000E59DA"/>
    <w:rsid w:val="000F0664"/>
    <w:rsid w:val="000F430D"/>
    <w:rsid w:val="000F68CB"/>
    <w:rsid w:val="000F6B8C"/>
    <w:rsid w:val="000F70F1"/>
    <w:rsid w:val="00102D9F"/>
    <w:rsid w:val="00103033"/>
    <w:rsid w:val="00107A87"/>
    <w:rsid w:val="00107C8E"/>
    <w:rsid w:val="00111A03"/>
    <w:rsid w:val="00113105"/>
    <w:rsid w:val="00114046"/>
    <w:rsid w:val="00114CE6"/>
    <w:rsid w:val="00114F35"/>
    <w:rsid w:val="001156B3"/>
    <w:rsid w:val="00116111"/>
    <w:rsid w:val="00117158"/>
    <w:rsid w:val="0011716C"/>
    <w:rsid w:val="00117B33"/>
    <w:rsid w:val="00120C37"/>
    <w:rsid w:val="001211E0"/>
    <w:rsid w:val="00127BA0"/>
    <w:rsid w:val="0013063B"/>
    <w:rsid w:val="00133079"/>
    <w:rsid w:val="00141A57"/>
    <w:rsid w:val="00141B84"/>
    <w:rsid w:val="00141CA7"/>
    <w:rsid w:val="001502A6"/>
    <w:rsid w:val="00151FE0"/>
    <w:rsid w:val="001547FA"/>
    <w:rsid w:val="00155E25"/>
    <w:rsid w:val="00157188"/>
    <w:rsid w:val="00157A27"/>
    <w:rsid w:val="00160A4F"/>
    <w:rsid w:val="00165A43"/>
    <w:rsid w:val="00166D4A"/>
    <w:rsid w:val="001671A2"/>
    <w:rsid w:val="00171A28"/>
    <w:rsid w:val="00173F92"/>
    <w:rsid w:val="0017622C"/>
    <w:rsid w:val="001771C6"/>
    <w:rsid w:val="001779E1"/>
    <w:rsid w:val="001823BA"/>
    <w:rsid w:val="00183C1A"/>
    <w:rsid w:val="001871BA"/>
    <w:rsid w:val="00187608"/>
    <w:rsid w:val="001917B1"/>
    <w:rsid w:val="001926A9"/>
    <w:rsid w:val="00192A70"/>
    <w:rsid w:val="001944E2"/>
    <w:rsid w:val="001961CC"/>
    <w:rsid w:val="0019774B"/>
    <w:rsid w:val="001A157A"/>
    <w:rsid w:val="001A1BA2"/>
    <w:rsid w:val="001A2EF9"/>
    <w:rsid w:val="001A6167"/>
    <w:rsid w:val="001A7713"/>
    <w:rsid w:val="001A7CB3"/>
    <w:rsid w:val="001B0C7F"/>
    <w:rsid w:val="001B5AE5"/>
    <w:rsid w:val="001C0074"/>
    <w:rsid w:val="001C192D"/>
    <w:rsid w:val="001C3E47"/>
    <w:rsid w:val="001C5BCC"/>
    <w:rsid w:val="001D072C"/>
    <w:rsid w:val="001D18E3"/>
    <w:rsid w:val="001D2FE3"/>
    <w:rsid w:val="001E084E"/>
    <w:rsid w:val="001E0EED"/>
    <w:rsid w:val="001E2A96"/>
    <w:rsid w:val="001F0E25"/>
    <w:rsid w:val="001F150B"/>
    <w:rsid w:val="001F71A8"/>
    <w:rsid w:val="00200C09"/>
    <w:rsid w:val="00200DF4"/>
    <w:rsid w:val="00201C1B"/>
    <w:rsid w:val="00202CBD"/>
    <w:rsid w:val="00204DA3"/>
    <w:rsid w:val="002078C2"/>
    <w:rsid w:val="00211187"/>
    <w:rsid w:val="00211F10"/>
    <w:rsid w:val="002120AB"/>
    <w:rsid w:val="00213111"/>
    <w:rsid w:val="002163C2"/>
    <w:rsid w:val="00216849"/>
    <w:rsid w:val="00217D7C"/>
    <w:rsid w:val="00221052"/>
    <w:rsid w:val="00222D82"/>
    <w:rsid w:val="0023057B"/>
    <w:rsid w:val="00230598"/>
    <w:rsid w:val="00235B9E"/>
    <w:rsid w:val="002404CC"/>
    <w:rsid w:val="00241414"/>
    <w:rsid w:val="0024229E"/>
    <w:rsid w:val="00244BC3"/>
    <w:rsid w:val="00245ED4"/>
    <w:rsid w:val="002464C1"/>
    <w:rsid w:val="00246FD9"/>
    <w:rsid w:val="00247E5F"/>
    <w:rsid w:val="00254D83"/>
    <w:rsid w:val="002561AB"/>
    <w:rsid w:val="00256941"/>
    <w:rsid w:val="00260F46"/>
    <w:rsid w:val="00261534"/>
    <w:rsid w:val="00262BDC"/>
    <w:rsid w:val="00263325"/>
    <w:rsid w:val="00263849"/>
    <w:rsid w:val="00265932"/>
    <w:rsid w:val="0026716C"/>
    <w:rsid w:val="00267D52"/>
    <w:rsid w:val="00270E34"/>
    <w:rsid w:val="0027203B"/>
    <w:rsid w:val="00273550"/>
    <w:rsid w:val="00273A76"/>
    <w:rsid w:val="002749C7"/>
    <w:rsid w:val="002757BB"/>
    <w:rsid w:val="00276193"/>
    <w:rsid w:val="002827E4"/>
    <w:rsid w:val="00283406"/>
    <w:rsid w:val="00283892"/>
    <w:rsid w:val="00287DED"/>
    <w:rsid w:val="002904CF"/>
    <w:rsid w:val="00291260"/>
    <w:rsid w:val="00291C17"/>
    <w:rsid w:val="00292DF6"/>
    <w:rsid w:val="002932C8"/>
    <w:rsid w:val="002936FF"/>
    <w:rsid w:val="0029416C"/>
    <w:rsid w:val="00296D35"/>
    <w:rsid w:val="002A1263"/>
    <w:rsid w:val="002A3524"/>
    <w:rsid w:val="002A745B"/>
    <w:rsid w:val="002A76A0"/>
    <w:rsid w:val="002B1EDB"/>
    <w:rsid w:val="002B3FC6"/>
    <w:rsid w:val="002B7683"/>
    <w:rsid w:val="002C1745"/>
    <w:rsid w:val="002C25C3"/>
    <w:rsid w:val="002C4023"/>
    <w:rsid w:val="002C4B8F"/>
    <w:rsid w:val="002C4E64"/>
    <w:rsid w:val="002D0EA4"/>
    <w:rsid w:val="002D126D"/>
    <w:rsid w:val="002D2FC9"/>
    <w:rsid w:val="002E16C1"/>
    <w:rsid w:val="002E541E"/>
    <w:rsid w:val="002E768A"/>
    <w:rsid w:val="002F0462"/>
    <w:rsid w:val="002F1403"/>
    <w:rsid w:val="002F2ABC"/>
    <w:rsid w:val="002F2F70"/>
    <w:rsid w:val="002F321F"/>
    <w:rsid w:val="002F4482"/>
    <w:rsid w:val="002F53D7"/>
    <w:rsid w:val="00301AE5"/>
    <w:rsid w:val="00301E7B"/>
    <w:rsid w:val="00310006"/>
    <w:rsid w:val="00310468"/>
    <w:rsid w:val="00310D80"/>
    <w:rsid w:val="00311EE9"/>
    <w:rsid w:val="003139FE"/>
    <w:rsid w:val="003141B4"/>
    <w:rsid w:val="0031667C"/>
    <w:rsid w:val="003167FC"/>
    <w:rsid w:val="003173A6"/>
    <w:rsid w:val="003203EC"/>
    <w:rsid w:val="003217D2"/>
    <w:rsid w:val="00322D40"/>
    <w:rsid w:val="0032371C"/>
    <w:rsid w:val="00323981"/>
    <w:rsid w:val="00326261"/>
    <w:rsid w:val="0033024C"/>
    <w:rsid w:val="00332021"/>
    <w:rsid w:val="00333689"/>
    <w:rsid w:val="00333FCB"/>
    <w:rsid w:val="003348F8"/>
    <w:rsid w:val="00334FE8"/>
    <w:rsid w:val="00337BA7"/>
    <w:rsid w:val="00342436"/>
    <w:rsid w:val="003446DD"/>
    <w:rsid w:val="00347006"/>
    <w:rsid w:val="00351CD5"/>
    <w:rsid w:val="00353976"/>
    <w:rsid w:val="00354902"/>
    <w:rsid w:val="00355710"/>
    <w:rsid w:val="00355F8F"/>
    <w:rsid w:val="003566EA"/>
    <w:rsid w:val="003568B5"/>
    <w:rsid w:val="00356DC2"/>
    <w:rsid w:val="00356ECB"/>
    <w:rsid w:val="00361986"/>
    <w:rsid w:val="003641C7"/>
    <w:rsid w:val="0036783B"/>
    <w:rsid w:val="00370933"/>
    <w:rsid w:val="00370B34"/>
    <w:rsid w:val="00370B98"/>
    <w:rsid w:val="00372FF4"/>
    <w:rsid w:val="003733B3"/>
    <w:rsid w:val="00377F38"/>
    <w:rsid w:val="003821E1"/>
    <w:rsid w:val="00382685"/>
    <w:rsid w:val="00382ACC"/>
    <w:rsid w:val="00385B9A"/>
    <w:rsid w:val="00386623"/>
    <w:rsid w:val="00386B5B"/>
    <w:rsid w:val="00386EC7"/>
    <w:rsid w:val="00387118"/>
    <w:rsid w:val="003954D8"/>
    <w:rsid w:val="00395606"/>
    <w:rsid w:val="0039698E"/>
    <w:rsid w:val="00397A93"/>
    <w:rsid w:val="003A1C55"/>
    <w:rsid w:val="003A664B"/>
    <w:rsid w:val="003B002B"/>
    <w:rsid w:val="003B1FA3"/>
    <w:rsid w:val="003B3404"/>
    <w:rsid w:val="003B4F8D"/>
    <w:rsid w:val="003B5119"/>
    <w:rsid w:val="003B5D45"/>
    <w:rsid w:val="003B698C"/>
    <w:rsid w:val="003B748C"/>
    <w:rsid w:val="003B781F"/>
    <w:rsid w:val="003C1A90"/>
    <w:rsid w:val="003C2F08"/>
    <w:rsid w:val="003C5F4D"/>
    <w:rsid w:val="003C675A"/>
    <w:rsid w:val="003D0A28"/>
    <w:rsid w:val="003D11BB"/>
    <w:rsid w:val="003D3677"/>
    <w:rsid w:val="003E2FD3"/>
    <w:rsid w:val="003E3D01"/>
    <w:rsid w:val="003E4742"/>
    <w:rsid w:val="003E553F"/>
    <w:rsid w:val="003E5606"/>
    <w:rsid w:val="003F05F9"/>
    <w:rsid w:val="003F0E57"/>
    <w:rsid w:val="003F1D4C"/>
    <w:rsid w:val="003F1EE1"/>
    <w:rsid w:val="003F2C62"/>
    <w:rsid w:val="003F3282"/>
    <w:rsid w:val="003F4BD6"/>
    <w:rsid w:val="003F5ECE"/>
    <w:rsid w:val="00404AF2"/>
    <w:rsid w:val="00405857"/>
    <w:rsid w:val="004064CF"/>
    <w:rsid w:val="00410578"/>
    <w:rsid w:val="00410DCE"/>
    <w:rsid w:val="0041108E"/>
    <w:rsid w:val="00411A7D"/>
    <w:rsid w:val="00413F58"/>
    <w:rsid w:val="00416C13"/>
    <w:rsid w:val="00420229"/>
    <w:rsid w:val="00422300"/>
    <w:rsid w:val="0042479C"/>
    <w:rsid w:val="00425438"/>
    <w:rsid w:val="00425655"/>
    <w:rsid w:val="00425F10"/>
    <w:rsid w:val="00427265"/>
    <w:rsid w:val="00430F7E"/>
    <w:rsid w:val="00431B90"/>
    <w:rsid w:val="00432485"/>
    <w:rsid w:val="004336CF"/>
    <w:rsid w:val="00433B3F"/>
    <w:rsid w:val="00433C9E"/>
    <w:rsid w:val="0043440D"/>
    <w:rsid w:val="0043743F"/>
    <w:rsid w:val="004376E2"/>
    <w:rsid w:val="00442140"/>
    <w:rsid w:val="004425BB"/>
    <w:rsid w:val="00442F5A"/>
    <w:rsid w:val="00443830"/>
    <w:rsid w:val="00447533"/>
    <w:rsid w:val="004475F7"/>
    <w:rsid w:val="00447A61"/>
    <w:rsid w:val="0045087C"/>
    <w:rsid w:val="00452BAA"/>
    <w:rsid w:val="00452D9E"/>
    <w:rsid w:val="004532C4"/>
    <w:rsid w:val="00455D12"/>
    <w:rsid w:val="004562CF"/>
    <w:rsid w:val="004569C8"/>
    <w:rsid w:val="004574E0"/>
    <w:rsid w:val="0046020D"/>
    <w:rsid w:val="00460A1A"/>
    <w:rsid w:val="0046243A"/>
    <w:rsid w:val="0046264D"/>
    <w:rsid w:val="0046437D"/>
    <w:rsid w:val="00466324"/>
    <w:rsid w:val="00467591"/>
    <w:rsid w:val="00471070"/>
    <w:rsid w:val="00471366"/>
    <w:rsid w:val="00471A69"/>
    <w:rsid w:val="00471EFD"/>
    <w:rsid w:val="00474566"/>
    <w:rsid w:val="00481E4D"/>
    <w:rsid w:val="0048436E"/>
    <w:rsid w:val="00491C24"/>
    <w:rsid w:val="00491FFA"/>
    <w:rsid w:val="00492942"/>
    <w:rsid w:val="00495779"/>
    <w:rsid w:val="00495AC0"/>
    <w:rsid w:val="00497157"/>
    <w:rsid w:val="004A1462"/>
    <w:rsid w:val="004A266C"/>
    <w:rsid w:val="004A45BC"/>
    <w:rsid w:val="004B1DF6"/>
    <w:rsid w:val="004B389C"/>
    <w:rsid w:val="004B43CF"/>
    <w:rsid w:val="004B58B2"/>
    <w:rsid w:val="004B74E1"/>
    <w:rsid w:val="004C0BFE"/>
    <w:rsid w:val="004C435A"/>
    <w:rsid w:val="004C477B"/>
    <w:rsid w:val="004C6310"/>
    <w:rsid w:val="004D13A8"/>
    <w:rsid w:val="004D2006"/>
    <w:rsid w:val="004D2055"/>
    <w:rsid w:val="004D6494"/>
    <w:rsid w:val="004E0397"/>
    <w:rsid w:val="004E175E"/>
    <w:rsid w:val="004E2F3B"/>
    <w:rsid w:val="004E52E2"/>
    <w:rsid w:val="004F07BC"/>
    <w:rsid w:val="004F2DBB"/>
    <w:rsid w:val="004F3019"/>
    <w:rsid w:val="004F37F4"/>
    <w:rsid w:val="004F42F3"/>
    <w:rsid w:val="004F56AA"/>
    <w:rsid w:val="004F5CA4"/>
    <w:rsid w:val="004F67F6"/>
    <w:rsid w:val="005035A4"/>
    <w:rsid w:val="00503C3F"/>
    <w:rsid w:val="005053AB"/>
    <w:rsid w:val="00513478"/>
    <w:rsid w:val="005160D5"/>
    <w:rsid w:val="00516929"/>
    <w:rsid w:val="00520549"/>
    <w:rsid w:val="00520775"/>
    <w:rsid w:val="00522542"/>
    <w:rsid w:val="005249FD"/>
    <w:rsid w:val="00531E90"/>
    <w:rsid w:val="00532749"/>
    <w:rsid w:val="005352EB"/>
    <w:rsid w:val="005361B5"/>
    <w:rsid w:val="00542402"/>
    <w:rsid w:val="00543407"/>
    <w:rsid w:val="0054466E"/>
    <w:rsid w:val="00545B8D"/>
    <w:rsid w:val="00546FF0"/>
    <w:rsid w:val="00550597"/>
    <w:rsid w:val="00550B48"/>
    <w:rsid w:val="0055225E"/>
    <w:rsid w:val="005526CF"/>
    <w:rsid w:val="0055320E"/>
    <w:rsid w:val="00553D9A"/>
    <w:rsid w:val="00556C6F"/>
    <w:rsid w:val="0056009C"/>
    <w:rsid w:val="00564EE9"/>
    <w:rsid w:val="00571220"/>
    <w:rsid w:val="00573418"/>
    <w:rsid w:val="00574454"/>
    <w:rsid w:val="0057534A"/>
    <w:rsid w:val="00575591"/>
    <w:rsid w:val="0058338F"/>
    <w:rsid w:val="0058392F"/>
    <w:rsid w:val="00584E02"/>
    <w:rsid w:val="0058590A"/>
    <w:rsid w:val="00591357"/>
    <w:rsid w:val="00591ED8"/>
    <w:rsid w:val="005925CA"/>
    <w:rsid w:val="005938B9"/>
    <w:rsid w:val="00594081"/>
    <w:rsid w:val="005942E5"/>
    <w:rsid w:val="00595C49"/>
    <w:rsid w:val="005A04E2"/>
    <w:rsid w:val="005A16C7"/>
    <w:rsid w:val="005A32DC"/>
    <w:rsid w:val="005A46DA"/>
    <w:rsid w:val="005A6C34"/>
    <w:rsid w:val="005B48A7"/>
    <w:rsid w:val="005C3FE5"/>
    <w:rsid w:val="005C56EC"/>
    <w:rsid w:val="005C74FC"/>
    <w:rsid w:val="005D022D"/>
    <w:rsid w:val="005D188D"/>
    <w:rsid w:val="005D3373"/>
    <w:rsid w:val="005D47CA"/>
    <w:rsid w:val="005E049F"/>
    <w:rsid w:val="005E20FD"/>
    <w:rsid w:val="005E211F"/>
    <w:rsid w:val="005E3C61"/>
    <w:rsid w:val="005E501F"/>
    <w:rsid w:val="005E5070"/>
    <w:rsid w:val="005E61E8"/>
    <w:rsid w:val="005F075D"/>
    <w:rsid w:val="005F250B"/>
    <w:rsid w:val="005F4207"/>
    <w:rsid w:val="0060143C"/>
    <w:rsid w:val="00602E59"/>
    <w:rsid w:val="0060670F"/>
    <w:rsid w:val="00611191"/>
    <w:rsid w:val="0061424D"/>
    <w:rsid w:val="0062005E"/>
    <w:rsid w:val="0062101E"/>
    <w:rsid w:val="00623BD1"/>
    <w:rsid w:val="00625E2F"/>
    <w:rsid w:val="00630F07"/>
    <w:rsid w:val="00633851"/>
    <w:rsid w:val="00633B78"/>
    <w:rsid w:val="00634ADC"/>
    <w:rsid w:val="00640323"/>
    <w:rsid w:val="00640E84"/>
    <w:rsid w:val="006423AF"/>
    <w:rsid w:val="00642628"/>
    <w:rsid w:val="00644AAC"/>
    <w:rsid w:val="006455D0"/>
    <w:rsid w:val="006544ED"/>
    <w:rsid w:val="006551D9"/>
    <w:rsid w:val="00655203"/>
    <w:rsid w:val="006569FD"/>
    <w:rsid w:val="00660C88"/>
    <w:rsid w:val="0066167F"/>
    <w:rsid w:val="0066170B"/>
    <w:rsid w:val="006632E7"/>
    <w:rsid w:val="006642B5"/>
    <w:rsid w:val="00665602"/>
    <w:rsid w:val="00667F2A"/>
    <w:rsid w:val="00670E83"/>
    <w:rsid w:val="00672987"/>
    <w:rsid w:val="00674021"/>
    <w:rsid w:val="00675F24"/>
    <w:rsid w:val="00676093"/>
    <w:rsid w:val="00677217"/>
    <w:rsid w:val="00680B65"/>
    <w:rsid w:val="006812FC"/>
    <w:rsid w:val="00683306"/>
    <w:rsid w:val="0068347A"/>
    <w:rsid w:val="00683AD8"/>
    <w:rsid w:val="00686825"/>
    <w:rsid w:val="0068762B"/>
    <w:rsid w:val="00687C2B"/>
    <w:rsid w:val="00687D63"/>
    <w:rsid w:val="0069222E"/>
    <w:rsid w:val="00693914"/>
    <w:rsid w:val="0069646C"/>
    <w:rsid w:val="006A00E4"/>
    <w:rsid w:val="006A7617"/>
    <w:rsid w:val="006B00B7"/>
    <w:rsid w:val="006B3AD5"/>
    <w:rsid w:val="006C2B85"/>
    <w:rsid w:val="006C36EE"/>
    <w:rsid w:val="006C479D"/>
    <w:rsid w:val="006D1713"/>
    <w:rsid w:val="006D17F9"/>
    <w:rsid w:val="006D4313"/>
    <w:rsid w:val="006D67AF"/>
    <w:rsid w:val="006D6DCC"/>
    <w:rsid w:val="006E049A"/>
    <w:rsid w:val="006E22B6"/>
    <w:rsid w:val="006E4FD0"/>
    <w:rsid w:val="006F0D25"/>
    <w:rsid w:val="006F2468"/>
    <w:rsid w:val="006F450E"/>
    <w:rsid w:val="006F51B5"/>
    <w:rsid w:val="006F55D3"/>
    <w:rsid w:val="006F571F"/>
    <w:rsid w:val="006F5FCD"/>
    <w:rsid w:val="006F69BD"/>
    <w:rsid w:val="007014A4"/>
    <w:rsid w:val="00702D0A"/>
    <w:rsid w:val="00703D63"/>
    <w:rsid w:val="00713559"/>
    <w:rsid w:val="00717F83"/>
    <w:rsid w:val="00721B44"/>
    <w:rsid w:val="007240A2"/>
    <w:rsid w:val="007247F7"/>
    <w:rsid w:val="00725479"/>
    <w:rsid w:val="00725A7E"/>
    <w:rsid w:val="00725D7F"/>
    <w:rsid w:val="007269B6"/>
    <w:rsid w:val="0073022F"/>
    <w:rsid w:val="00730587"/>
    <w:rsid w:val="0073102A"/>
    <w:rsid w:val="00731658"/>
    <w:rsid w:val="00731CF9"/>
    <w:rsid w:val="00732C26"/>
    <w:rsid w:val="007337C6"/>
    <w:rsid w:val="007341E8"/>
    <w:rsid w:val="007371AF"/>
    <w:rsid w:val="00742939"/>
    <w:rsid w:val="00745E54"/>
    <w:rsid w:val="00750161"/>
    <w:rsid w:val="00751321"/>
    <w:rsid w:val="007533AD"/>
    <w:rsid w:val="00755E4F"/>
    <w:rsid w:val="00756237"/>
    <w:rsid w:val="00761F5B"/>
    <w:rsid w:val="007635B8"/>
    <w:rsid w:val="00763917"/>
    <w:rsid w:val="00764F58"/>
    <w:rsid w:val="007659DA"/>
    <w:rsid w:val="00767523"/>
    <w:rsid w:val="007679C4"/>
    <w:rsid w:val="00770AA2"/>
    <w:rsid w:val="00771571"/>
    <w:rsid w:val="00775467"/>
    <w:rsid w:val="0078043A"/>
    <w:rsid w:val="007805B5"/>
    <w:rsid w:val="00781FB0"/>
    <w:rsid w:val="007829E6"/>
    <w:rsid w:val="0078331E"/>
    <w:rsid w:val="00783F99"/>
    <w:rsid w:val="00784A57"/>
    <w:rsid w:val="00787ECF"/>
    <w:rsid w:val="0079723D"/>
    <w:rsid w:val="007975ED"/>
    <w:rsid w:val="007A2B66"/>
    <w:rsid w:val="007A3FAD"/>
    <w:rsid w:val="007A4405"/>
    <w:rsid w:val="007A61E6"/>
    <w:rsid w:val="007A7599"/>
    <w:rsid w:val="007A7BC2"/>
    <w:rsid w:val="007B3B58"/>
    <w:rsid w:val="007B3FF4"/>
    <w:rsid w:val="007B4F5A"/>
    <w:rsid w:val="007C633F"/>
    <w:rsid w:val="007D04CA"/>
    <w:rsid w:val="007D57EE"/>
    <w:rsid w:val="007D6B0C"/>
    <w:rsid w:val="007D7D08"/>
    <w:rsid w:val="007E0AD2"/>
    <w:rsid w:val="007E10A9"/>
    <w:rsid w:val="007E39C0"/>
    <w:rsid w:val="007E606C"/>
    <w:rsid w:val="007F1272"/>
    <w:rsid w:val="007F2618"/>
    <w:rsid w:val="007F3FC8"/>
    <w:rsid w:val="007F522A"/>
    <w:rsid w:val="007F5526"/>
    <w:rsid w:val="007F795E"/>
    <w:rsid w:val="00802488"/>
    <w:rsid w:val="00803423"/>
    <w:rsid w:val="00804C32"/>
    <w:rsid w:val="008052CC"/>
    <w:rsid w:val="008076B1"/>
    <w:rsid w:val="00810FBA"/>
    <w:rsid w:val="008111EA"/>
    <w:rsid w:val="008177F2"/>
    <w:rsid w:val="00820F90"/>
    <w:rsid w:val="0082248C"/>
    <w:rsid w:val="00824F8F"/>
    <w:rsid w:val="00825513"/>
    <w:rsid w:val="00827B43"/>
    <w:rsid w:val="00830C96"/>
    <w:rsid w:val="008341F2"/>
    <w:rsid w:val="00834AA3"/>
    <w:rsid w:val="00836923"/>
    <w:rsid w:val="00841850"/>
    <w:rsid w:val="008418D4"/>
    <w:rsid w:val="00841AAC"/>
    <w:rsid w:val="00844FE7"/>
    <w:rsid w:val="00847C4D"/>
    <w:rsid w:val="00847F4B"/>
    <w:rsid w:val="0085002A"/>
    <w:rsid w:val="00850104"/>
    <w:rsid w:val="008571D3"/>
    <w:rsid w:val="0085747B"/>
    <w:rsid w:val="008708ED"/>
    <w:rsid w:val="00871F3B"/>
    <w:rsid w:val="00876B91"/>
    <w:rsid w:val="00877349"/>
    <w:rsid w:val="00883524"/>
    <w:rsid w:val="00892068"/>
    <w:rsid w:val="008922F2"/>
    <w:rsid w:val="00894E01"/>
    <w:rsid w:val="008957BD"/>
    <w:rsid w:val="008A521D"/>
    <w:rsid w:val="008A5712"/>
    <w:rsid w:val="008A6499"/>
    <w:rsid w:val="008A7688"/>
    <w:rsid w:val="008A7901"/>
    <w:rsid w:val="008B4B59"/>
    <w:rsid w:val="008B787C"/>
    <w:rsid w:val="008C25CA"/>
    <w:rsid w:val="008C4B86"/>
    <w:rsid w:val="008D04E5"/>
    <w:rsid w:val="008D1763"/>
    <w:rsid w:val="008D2C40"/>
    <w:rsid w:val="008E1E6C"/>
    <w:rsid w:val="008E1F3E"/>
    <w:rsid w:val="008E414C"/>
    <w:rsid w:val="008E5E07"/>
    <w:rsid w:val="008E6981"/>
    <w:rsid w:val="008F2261"/>
    <w:rsid w:val="008F60FF"/>
    <w:rsid w:val="00900FCB"/>
    <w:rsid w:val="00901069"/>
    <w:rsid w:val="009024A6"/>
    <w:rsid w:val="00902EF4"/>
    <w:rsid w:val="00903C68"/>
    <w:rsid w:val="00904E66"/>
    <w:rsid w:val="0090515E"/>
    <w:rsid w:val="00910899"/>
    <w:rsid w:val="009117F0"/>
    <w:rsid w:val="00912A2E"/>
    <w:rsid w:val="00912EB3"/>
    <w:rsid w:val="00921E5F"/>
    <w:rsid w:val="009221E2"/>
    <w:rsid w:val="0092227D"/>
    <w:rsid w:val="00925266"/>
    <w:rsid w:val="00925C23"/>
    <w:rsid w:val="00927DAB"/>
    <w:rsid w:val="00931A7C"/>
    <w:rsid w:val="00931D3D"/>
    <w:rsid w:val="009327A2"/>
    <w:rsid w:val="0093595E"/>
    <w:rsid w:val="00935E8D"/>
    <w:rsid w:val="00936567"/>
    <w:rsid w:val="00936B8A"/>
    <w:rsid w:val="00943DC8"/>
    <w:rsid w:val="00944698"/>
    <w:rsid w:val="00944791"/>
    <w:rsid w:val="00944D40"/>
    <w:rsid w:val="00952410"/>
    <w:rsid w:val="0095281F"/>
    <w:rsid w:val="009544BF"/>
    <w:rsid w:val="009556BE"/>
    <w:rsid w:val="00956928"/>
    <w:rsid w:val="009613EA"/>
    <w:rsid w:val="00965F91"/>
    <w:rsid w:val="0096652F"/>
    <w:rsid w:val="00967D72"/>
    <w:rsid w:val="0097382E"/>
    <w:rsid w:val="0097407F"/>
    <w:rsid w:val="00976D68"/>
    <w:rsid w:val="0098039A"/>
    <w:rsid w:val="0098130D"/>
    <w:rsid w:val="0098185F"/>
    <w:rsid w:val="00981963"/>
    <w:rsid w:val="0098335F"/>
    <w:rsid w:val="009836C0"/>
    <w:rsid w:val="00984EB6"/>
    <w:rsid w:val="00986E03"/>
    <w:rsid w:val="009925A1"/>
    <w:rsid w:val="0099306F"/>
    <w:rsid w:val="0099313C"/>
    <w:rsid w:val="009939F2"/>
    <w:rsid w:val="00995D49"/>
    <w:rsid w:val="00997E91"/>
    <w:rsid w:val="009A1C16"/>
    <w:rsid w:val="009A36B0"/>
    <w:rsid w:val="009B1CFF"/>
    <w:rsid w:val="009B257B"/>
    <w:rsid w:val="009B2E08"/>
    <w:rsid w:val="009B2E66"/>
    <w:rsid w:val="009B32F5"/>
    <w:rsid w:val="009B6ACC"/>
    <w:rsid w:val="009C08A9"/>
    <w:rsid w:val="009C0E46"/>
    <w:rsid w:val="009C2518"/>
    <w:rsid w:val="009C3816"/>
    <w:rsid w:val="009D2172"/>
    <w:rsid w:val="009D4956"/>
    <w:rsid w:val="009D5050"/>
    <w:rsid w:val="009D6344"/>
    <w:rsid w:val="009D7178"/>
    <w:rsid w:val="009E0893"/>
    <w:rsid w:val="009E108E"/>
    <w:rsid w:val="009E2459"/>
    <w:rsid w:val="009E2979"/>
    <w:rsid w:val="009E480C"/>
    <w:rsid w:val="009F090C"/>
    <w:rsid w:val="009F0ED9"/>
    <w:rsid w:val="009F2875"/>
    <w:rsid w:val="009F35F8"/>
    <w:rsid w:val="009F6879"/>
    <w:rsid w:val="009F745B"/>
    <w:rsid w:val="009F75A1"/>
    <w:rsid w:val="00A01424"/>
    <w:rsid w:val="00A114ED"/>
    <w:rsid w:val="00A12CEF"/>
    <w:rsid w:val="00A161A8"/>
    <w:rsid w:val="00A17116"/>
    <w:rsid w:val="00A17AC4"/>
    <w:rsid w:val="00A17FDA"/>
    <w:rsid w:val="00A20B6B"/>
    <w:rsid w:val="00A22B27"/>
    <w:rsid w:val="00A22C63"/>
    <w:rsid w:val="00A261F4"/>
    <w:rsid w:val="00A269A4"/>
    <w:rsid w:val="00A27278"/>
    <w:rsid w:val="00A318F2"/>
    <w:rsid w:val="00A327F3"/>
    <w:rsid w:val="00A334EF"/>
    <w:rsid w:val="00A33F0F"/>
    <w:rsid w:val="00A3504D"/>
    <w:rsid w:val="00A35E95"/>
    <w:rsid w:val="00A36C26"/>
    <w:rsid w:val="00A41957"/>
    <w:rsid w:val="00A43ACF"/>
    <w:rsid w:val="00A43ED4"/>
    <w:rsid w:val="00A4493A"/>
    <w:rsid w:val="00A45003"/>
    <w:rsid w:val="00A46268"/>
    <w:rsid w:val="00A52619"/>
    <w:rsid w:val="00A52F1D"/>
    <w:rsid w:val="00A5570C"/>
    <w:rsid w:val="00A55E18"/>
    <w:rsid w:val="00A5635F"/>
    <w:rsid w:val="00A6296E"/>
    <w:rsid w:val="00A6598B"/>
    <w:rsid w:val="00A65C68"/>
    <w:rsid w:val="00A67D2D"/>
    <w:rsid w:val="00A70FB3"/>
    <w:rsid w:val="00A7140A"/>
    <w:rsid w:val="00A71649"/>
    <w:rsid w:val="00A72613"/>
    <w:rsid w:val="00A72AE7"/>
    <w:rsid w:val="00A749B0"/>
    <w:rsid w:val="00A80E5B"/>
    <w:rsid w:val="00A81864"/>
    <w:rsid w:val="00A82CE2"/>
    <w:rsid w:val="00A83A23"/>
    <w:rsid w:val="00A846F3"/>
    <w:rsid w:val="00A86163"/>
    <w:rsid w:val="00A866DF"/>
    <w:rsid w:val="00A86958"/>
    <w:rsid w:val="00A9168F"/>
    <w:rsid w:val="00A94983"/>
    <w:rsid w:val="00A96280"/>
    <w:rsid w:val="00AA3070"/>
    <w:rsid w:val="00AA3D1C"/>
    <w:rsid w:val="00AA4371"/>
    <w:rsid w:val="00AA57F5"/>
    <w:rsid w:val="00AA7B2B"/>
    <w:rsid w:val="00AB1F21"/>
    <w:rsid w:val="00AB589C"/>
    <w:rsid w:val="00AB67CF"/>
    <w:rsid w:val="00AB75E5"/>
    <w:rsid w:val="00AB7636"/>
    <w:rsid w:val="00AC1470"/>
    <w:rsid w:val="00AC1B11"/>
    <w:rsid w:val="00AC1F7E"/>
    <w:rsid w:val="00AC2B6B"/>
    <w:rsid w:val="00AC34BF"/>
    <w:rsid w:val="00AC420B"/>
    <w:rsid w:val="00AD15AE"/>
    <w:rsid w:val="00AD2093"/>
    <w:rsid w:val="00AD4457"/>
    <w:rsid w:val="00AD5EF1"/>
    <w:rsid w:val="00AE1CC0"/>
    <w:rsid w:val="00AE2DC8"/>
    <w:rsid w:val="00AE3480"/>
    <w:rsid w:val="00AE7211"/>
    <w:rsid w:val="00AF0F7C"/>
    <w:rsid w:val="00AF3046"/>
    <w:rsid w:val="00AF3D1D"/>
    <w:rsid w:val="00AF63B8"/>
    <w:rsid w:val="00B015A1"/>
    <w:rsid w:val="00B05A4D"/>
    <w:rsid w:val="00B05B12"/>
    <w:rsid w:val="00B06EEA"/>
    <w:rsid w:val="00B06FFC"/>
    <w:rsid w:val="00B07E2E"/>
    <w:rsid w:val="00B13947"/>
    <w:rsid w:val="00B15454"/>
    <w:rsid w:val="00B1716F"/>
    <w:rsid w:val="00B203EB"/>
    <w:rsid w:val="00B21577"/>
    <w:rsid w:val="00B22425"/>
    <w:rsid w:val="00B232A3"/>
    <w:rsid w:val="00B24763"/>
    <w:rsid w:val="00B27766"/>
    <w:rsid w:val="00B3040F"/>
    <w:rsid w:val="00B3084B"/>
    <w:rsid w:val="00B31FA4"/>
    <w:rsid w:val="00B32D8C"/>
    <w:rsid w:val="00B37AFC"/>
    <w:rsid w:val="00B4292A"/>
    <w:rsid w:val="00B44667"/>
    <w:rsid w:val="00B47D9D"/>
    <w:rsid w:val="00B50B1E"/>
    <w:rsid w:val="00B52719"/>
    <w:rsid w:val="00B52BFC"/>
    <w:rsid w:val="00B53DF0"/>
    <w:rsid w:val="00B564D1"/>
    <w:rsid w:val="00B61338"/>
    <w:rsid w:val="00B624CB"/>
    <w:rsid w:val="00B63FBC"/>
    <w:rsid w:val="00B676B2"/>
    <w:rsid w:val="00B70A3C"/>
    <w:rsid w:val="00B7437F"/>
    <w:rsid w:val="00B74BE8"/>
    <w:rsid w:val="00B75C8A"/>
    <w:rsid w:val="00B805C6"/>
    <w:rsid w:val="00B80C79"/>
    <w:rsid w:val="00B832DD"/>
    <w:rsid w:val="00B83391"/>
    <w:rsid w:val="00B8409F"/>
    <w:rsid w:val="00B92264"/>
    <w:rsid w:val="00B92A53"/>
    <w:rsid w:val="00B93634"/>
    <w:rsid w:val="00B9436E"/>
    <w:rsid w:val="00B954AA"/>
    <w:rsid w:val="00B96DEA"/>
    <w:rsid w:val="00B973E6"/>
    <w:rsid w:val="00BA15CD"/>
    <w:rsid w:val="00BA3D13"/>
    <w:rsid w:val="00BA719C"/>
    <w:rsid w:val="00BA78F8"/>
    <w:rsid w:val="00BB21EF"/>
    <w:rsid w:val="00BB4EF1"/>
    <w:rsid w:val="00BB51BE"/>
    <w:rsid w:val="00BB6DEC"/>
    <w:rsid w:val="00BC0890"/>
    <w:rsid w:val="00BC2F92"/>
    <w:rsid w:val="00BC41C0"/>
    <w:rsid w:val="00BC5CD4"/>
    <w:rsid w:val="00BC6BDF"/>
    <w:rsid w:val="00BD1419"/>
    <w:rsid w:val="00BD25EA"/>
    <w:rsid w:val="00BD33DA"/>
    <w:rsid w:val="00BD57DD"/>
    <w:rsid w:val="00BD5C3E"/>
    <w:rsid w:val="00BE05E0"/>
    <w:rsid w:val="00BE453A"/>
    <w:rsid w:val="00BE5C67"/>
    <w:rsid w:val="00BE7095"/>
    <w:rsid w:val="00BF097A"/>
    <w:rsid w:val="00BF2B15"/>
    <w:rsid w:val="00BF2D29"/>
    <w:rsid w:val="00BF495C"/>
    <w:rsid w:val="00BF6F89"/>
    <w:rsid w:val="00C01858"/>
    <w:rsid w:val="00C02060"/>
    <w:rsid w:val="00C03B75"/>
    <w:rsid w:val="00C03C59"/>
    <w:rsid w:val="00C049F4"/>
    <w:rsid w:val="00C06770"/>
    <w:rsid w:val="00C1265E"/>
    <w:rsid w:val="00C12D69"/>
    <w:rsid w:val="00C14ED2"/>
    <w:rsid w:val="00C2002F"/>
    <w:rsid w:val="00C21BB0"/>
    <w:rsid w:val="00C24545"/>
    <w:rsid w:val="00C26757"/>
    <w:rsid w:val="00C2798B"/>
    <w:rsid w:val="00C30BA4"/>
    <w:rsid w:val="00C3110A"/>
    <w:rsid w:val="00C31A37"/>
    <w:rsid w:val="00C32356"/>
    <w:rsid w:val="00C32D9D"/>
    <w:rsid w:val="00C36743"/>
    <w:rsid w:val="00C3772A"/>
    <w:rsid w:val="00C434E7"/>
    <w:rsid w:val="00C43EBF"/>
    <w:rsid w:val="00C451AE"/>
    <w:rsid w:val="00C45325"/>
    <w:rsid w:val="00C459A6"/>
    <w:rsid w:val="00C47FCF"/>
    <w:rsid w:val="00C5264B"/>
    <w:rsid w:val="00C53778"/>
    <w:rsid w:val="00C5431D"/>
    <w:rsid w:val="00C544DD"/>
    <w:rsid w:val="00C555C2"/>
    <w:rsid w:val="00C5572C"/>
    <w:rsid w:val="00C577B6"/>
    <w:rsid w:val="00C57AE1"/>
    <w:rsid w:val="00C62410"/>
    <w:rsid w:val="00C628B3"/>
    <w:rsid w:val="00C62BFE"/>
    <w:rsid w:val="00C70924"/>
    <w:rsid w:val="00C709FD"/>
    <w:rsid w:val="00C70C4B"/>
    <w:rsid w:val="00C71129"/>
    <w:rsid w:val="00C71C6F"/>
    <w:rsid w:val="00C75EF2"/>
    <w:rsid w:val="00C77C4B"/>
    <w:rsid w:val="00C861F0"/>
    <w:rsid w:val="00C8641B"/>
    <w:rsid w:val="00C87BBC"/>
    <w:rsid w:val="00C9161E"/>
    <w:rsid w:val="00C91C51"/>
    <w:rsid w:val="00C923E6"/>
    <w:rsid w:val="00C9376B"/>
    <w:rsid w:val="00C9497C"/>
    <w:rsid w:val="00C94AF0"/>
    <w:rsid w:val="00C953DC"/>
    <w:rsid w:val="00C96399"/>
    <w:rsid w:val="00C96974"/>
    <w:rsid w:val="00C97B6D"/>
    <w:rsid w:val="00CA4B90"/>
    <w:rsid w:val="00CA5A19"/>
    <w:rsid w:val="00CB00F6"/>
    <w:rsid w:val="00CB075E"/>
    <w:rsid w:val="00CB0A05"/>
    <w:rsid w:val="00CB7B19"/>
    <w:rsid w:val="00CC456D"/>
    <w:rsid w:val="00CC5003"/>
    <w:rsid w:val="00CC5F89"/>
    <w:rsid w:val="00CC642F"/>
    <w:rsid w:val="00CC758A"/>
    <w:rsid w:val="00CD41A6"/>
    <w:rsid w:val="00CD554E"/>
    <w:rsid w:val="00CD7DA0"/>
    <w:rsid w:val="00CE2738"/>
    <w:rsid w:val="00CE4197"/>
    <w:rsid w:val="00CE4DD0"/>
    <w:rsid w:val="00CE5B46"/>
    <w:rsid w:val="00CE6EDD"/>
    <w:rsid w:val="00CF0F28"/>
    <w:rsid w:val="00CF2347"/>
    <w:rsid w:val="00CF244B"/>
    <w:rsid w:val="00CF2E32"/>
    <w:rsid w:val="00CF494C"/>
    <w:rsid w:val="00CF6784"/>
    <w:rsid w:val="00CF73F7"/>
    <w:rsid w:val="00CF7542"/>
    <w:rsid w:val="00D005C0"/>
    <w:rsid w:val="00D008E2"/>
    <w:rsid w:val="00D0630E"/>
    <w:rsid w:val="00D10099"/>
    <w:rsid w:val="00D1122E"/>
    <w:rsid w:val="00D135E7"/>
    <w:rsid w:val="00D14B2F"/>
    <w:rsid w:val="00D15682"/>
    <w:rsid w:val="00D15DFD"/>
    <w:rsid w:val="00D205A8"/>
    <w:rsid w:val="00D22D67"/>
    <w:rsid w:val="00D23783"/>
    <w:rsid w:val="00D26036"/>
    <w:rsid w:val="00D26827"/>
    <w:rsid w:val="00D26922"/>
    <w:rsid w:val="00D269A2"/>
    <w:rsid w:val="00D2752D"/>
    <w:rsid w:val="00D27A11"/>
    <w:rsid w:val="00D42F4F"/>
    <w:rsid w:val="00D453C6"/>
    <w:rsid w:val="00D47C29"/>
    <w:rsid w:val="00D5201E"/>
    <w:rsid w:val="00D55523"/>
    <w:rsid w:val="00D559D5"/>
    <w:rsid w:val="00D56471"/>
    <w:rsid w:val="00D57F0D"/>
    <w:rsid w:val="00D6382F"/>
    <w:rsid w:val="00D6751B"/>
    <w:rsid w:val="00D73663"/>
    <w:rsid w:val="00D74459"/>
    <w:rsid w:val="00D75CD8"/>
    <w:rsid w:val="00D7648D"/>
    <w:rsid w:val="00D77880"/>
    <w:rsid w:val="00D77E42"/>
    <w:rsid w:val="00D80CD2"/>
    <w:rsid w:val="00D81216"/>
    <w:rsid w:val="00D8391A"/>
    <w:rsid w:val="00D843F1"/>
    <w:rsid w:val="00D85955"/>
    <w:rsid w:val="00D860FF"/>
    <w:rsid w:val="00D91708"/>
    <w:rsid w:val="00D92FED"/>
    <w:rsid w:val="00D96555"/>
    <w:rsid w:val="00DA0596"/>
    <w:rsid w:val="00DA0A92"/>
    <w:rsid w:val="00DA3205"/>
    <w:rsid w:val="00DA3F3F"/>
    <w:rsid w:val="00DA4847"/>
    <w:rsid w:val="00DB0532"/>
    <w:rsid w:val="00DB442E"/>
    <w:rsid w:val="00DB7086"/>
    <w:rsid w:val="00DB7C31"/>
    <w:rsid w:val="00DC0F87"/>
    <w:rsid w:val="00DC18D4"/>
    <w:rsid w:val="00DC26AC"/>
    <w:rsid w:val="00DC3943"/>
    <w:rsid w:val="00DD0A93"/>
    <w:rsid w:val="00DD4326"/>
    <w:rsid w:val="00DD5B3C"/>
    <w:rsid w:val="00DD725E"/>
    <w:rsid w:val="00DE0A5F"/>
    <w:rsid w:val="00DE1218"/>
    <w:rsid w:val="00DE545B"/>
    <w:rsid w:val="00DE6FBF"/>
    <w:rsid w:val="00DE7EE6"/>
    <w:rsid w:val="00DF140D"/>
    <w:rsid w:val="00DF2D4F"/>
    <w:rsid w:val="00E011E1"/>
    <w:rsid w:val="00E019C8"/>
    <w:rsid w:val="00E042C5"/>
    <w:rsid w:val="00E05E2D"/>
    <w:rsid w:val="00E0684E"/>
    <w:rsid w:val="00E072A4"/>
    <w:rsid w:val="00E12B80"/>
    <w:rsid w:val="00E15D69"/>
    <w:rsid w:val="00E21800"/>
    <w:rsid w:val="00E21FFA"/>
    <w:rsid w:val="00E23028"/>
    <w:rsid w:val="00E23C8D"/>
    <w:rsid w:val="00E256AA"/>
    <w:rsid w:val="00E26627"/>
    <w:rsid w:val="00E313F0"/>
    <w:rsid w:val="00E3194F"/>
    <w:rsid w:val="00E322DD"/>
    <w:rsid w:val="00E344FD"/>
    <w:rsid w:val="00E34E88"/>
    <w:rsid w:val="00E36334"/>
    <w:rsid w:val="00E40355"/>
    <w:rsid w:val="00E41D14"/>
    <w:rsid w:val="00E44E14"/>
    <w:rsid w:val="00E4622D"/>
    <w:rsid w:val="00E503DE"/>
    <w:rsid w:val="00E50F5C"/>
    <w:rsid w:val="00E518CE"/>
    <w:rsid w:val="00E53E72"/>
    <w:rsid w:val="00E55FF3"/>
    <w:rsid w:val="00E64235"/>
    <w:rsid w:val="00E642C7"/>
    <w:rsid w:val="00E6536A"/>
    <w:rsid w:val="00E6539C"/>
    <w:rsid w:val="00E66A94"/>
    <w:rsid w:val="00E7037F"/>
    <w:rsid w:val="00E71E4A"/>
    <w:rsid w:val="00E72AD5"/>
    <w:rsid w:val="00E72B02"/>
    <w:rsid w:val="00E73A6B"/>
    <w:rsid w:val="00E74F6B"/>
    <w:rsid w:val="00E75D4D"/>
    <w:rsid w:val="00E769EC"/>
    <w:rsid w:val="00E8003B"/>
    <w:rsid w:val="00E80C75"/>
    <w:rsid w:val="00E81CC2"/>
    <w:rsid w:val="00E84196"/>
    <w:rsid w:val="00E8588D"/>
    <w:rsid w:val="00E85BA4"/>
    <w:rsid w:val="00E86C34"/>
    <w:rsid w:val="00E8734B"/>
    <w:rsid w:val="00E95239"/>
    <w:rsid w:val="00E96312"/>
    <w:rsid w:val="00E96B3B"/>
    <w:rsid w:val="00E9731F"/>
    <w:rsid w:val="00EA0274"/>
    <w:rsid w:val="00EA035B"/>
    <w:rsid w:val="00EA23CB"/>
    <w:rsid w:val="00EB0EAB"/>
    <w:rsid w:val="00EB1093"/>
    <w:rsid w:val="00EB399E"/>
    <w:rsid w:val="00EB4C3F"/>
    <w:rsid w:val="00EB6B6D"/>
    <w:rsid w:val="00EC165D"/>
    <w:rsid w:val="00EC39C0"/>
    <w:rsid w:val="00EC74D8"/>
    <w:rsid w:val="00ED13CA"/>
    <w:rsid w:val="00ED1993"/>
    <w:rsid w:val="00ED3266"/>
    <w:rsid w:val="00ED5B3D"/>
    <w:rsid w:val="00ED6C28"/>
    <w:rsid w:val="00EE02E1"/>
    <w:rsid w:val="00EE12AD"/>
    <w:rsid w:val="00EE47B4"/>
    <w:rsid w:val="00EE58D6"/>
    <w:rsid w:val="00EE778D"/>
    <w:rsid w:val="00EF0DBB"/>
    <w:rsid w:val="00EF1B72"/>
    <w:rsid w:val="00EF75C0"/>
    <w:rsid w:val="00EF78CD"/>
    <w:rsid w:val="00F035E1"/>
    <w:rsid w:val="00F054DC"/>
    <w:rsid w:val="00F056AA"/>
    <w:rsid w:val="00F1141E"/>
    <w:rsid w:val="00F1317A"/>
    <w:rsid w:val="00F14722"/>
    <w:rsid w:val="00F2189A"/>
    <w:rsid w:val="00F23811"/>
    <w:rsid w:val="00F2459C"/>
    <w:rsid w:val="00F25A4A"/>
    <w:rsid w:val="00F301E2"/>
    <w:rsid w:val="00F3137D"/>
    <w:rsid w:val="00F3491A"/>
    <w:rsid w:val="00F374D1"/>
    <w:rsid w:val="00F518A8"/>
    <w:rsid w:val="00F51A7E"/>
    <w:rsid w:val="00F523A9"/>
    <w:rsid w:val="00F52CDC"/>
    <w:rsid w:val="00F52E13"/>
    <w:rsid w:val="00F5341E"/>
    <w:rsid w:val="00F53AA5"/>
    <w:rsid w:val="00F55994"/>
    <w:rsid w:val="00F56D5B"/>
    <w:rsid w:val="00F56D91"/>
    <w:rsid w:val="00F6615F"/>
    <w:rsid w:val="00F67AB0"/>
    <w:rsid w:val="00F71CF3"/>
    <w:rsid w:val="00F7263F"/>
    <w:rsid w:val="00F73BDC"/>
    <w:rsid w:val="00F740A3"/>
    <w:rsid w:val="00F74B2D"/>
    <w:rsid w:val="00F74FFB"/>
    <w:rsid w:val="00F751A1"/>
    <w:rsid w:val="00F76BD5"/>
    <w:rsid w:val="00F77163"/>
    <w:rsid w:val="00F8027D"/>
    <w:rsid w:val="00F812A6"/>
    <w:rsid w:val="00F816F2"/>
    <w:rsid w:val="00F870DE"/>
    <w:rsid w:val="00F873CF"/>
    <w:rsid w:val="00F92482"/>
    <w:rsid w:val="00FA1736"/>
    <w:rsid w:val="00FA2A41"/>
    <w:rsid w:val="00FA3031"/>
    <w:rsid w:val="00FA3097"/>
    <w:rsid w:val="00FA6A7A"/>
    <w:rsid w:val="00FB0034"/>
    <w:rsid w:val="00FC3695"/>
    <w:rsid w:val="00FC428C"/>
    <w:rsid w:val="00FC5B74"/>
    <w:rsid w:val="00FC665B"/>
    <w:rsid w:val="00FD14B2"/>
    <w:rsid w:val="00FD16E7"/>
    <w:rsid w:val="00FD2AF0"/>
    <w:rsid w:val="00FD4DC8"/>
    <w:rsid w:val="00FD5076"/>
    <w:rsid w:val="00FD5520"/>
    <w:rsid w:val="00FD555F"/>
    <w:rsid w:val="00FE1E4C"/>
    <w:rsid w:val="00FE1F6F"/>
    <w:rsid w:val="00FE2038"/>
    <w:rsid w:val="00FE2540"/>
    <w:rsid w:val="00FE4DD6"/>
    <w:rsid w:val="00FE68A9"/>
    <w:rsid w:val="00FF6856"/>
    <w:rsid w:val="00FF7C34"/>
    <w:rsid w:val="050B6C19"/>
    <w:rsid w:val="065E1231"/>
    <w:rsid w:val="0D9C676A"/>
    <w:rsid w:val="1209299D"/>
    <w:rsid w:val="15A9236C"/>
    <w:rsid w:val="24681644"/>
    <w:rsid w:val="265E28D1"/>
    <w:rsid w:val="29DA08EE"/>
    <w:rsid w:val="326438BC"/>
    <w:rsid w:val="375A71C2"/>
    <w:rsid w:val="3FF83425"/>
    <w:rsid w:val="40F279CF"/>
    <w:rsid w:val="418A27A2"/>
    <w:rsid w:val="42992949"/>
    <w:rsid w:val="46CD03D5"/>
    <w:rsid w:val="4F5509DA"/>
    <w:rsid w:val="4F8F3EFB"/>
    <w:rsid w:val="55834D79"/>
    <w:rsid w:val="5C8B76A2"/>
    <w:rsid w:val="66CA526B"/>
    <w:rsid w:val="7C211032"/>
    <w:rsid w:val="7DA55DE9"/>
    <w:rsid w:val="7E105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widowControl w:val="0"/>
      <w:kinsoku/>
      <w:autoSpaceDE/>
      <w:autoSpaceDN/>
      <w:adjustRightInd/>
      <w:snapToGrid/>
      <w:ind w:left="2520" w:leftChars="1200"/>
      <w:jc w:val="both"/>
      <w:textAlignment w:val="auto"/>
    </w:pPr>
    <w:rPr>
      <w:rFonts w:asciiTheme="minorHAnsi" w:hAnsiTheme="minorHAnsi" w:cstheme="minorBidi"/>
      <w:snapToGrid/>
      <w:color w:val="auto"/>
      <w:kern w:val="2"/>
      <w:szCs w:val="22"/>
      <w:lang w:eastAsia="zh-CN"/>
      <w14:ligatures w14:val="standardContextual"/>
    </w:rPr>
  </w:style>
  <w:style w:type="paragraph" w:styleId="6">
    <w:name w:val="Normal Indent"/>
    <w:basedOn w:val="1"/>
    <w:next w:val="1"/>
    <w:qFormat/>
    <w:uiPriority w:val="0"/>
    <w:pPr>
      <w:widowControl w:val="0"/>
      <w:kinsoku/>
      <w:autoSpaceDE/>
      <w:autoSpaceDN/>
      <w:adjustRightInd/>
      <w:snapToGrid/>
      <w:ind w:firstLine="420"/>
      <w:jc w:val="both"/>
      <w:textAlignment w:val="auto"/>
    </w:pPr>
    <w:rPr>
      <w:rFonts w:ascii="Times New Roman" w:hAnsi="Times New Roman" w:eastAsia="宋体" w:cs="Times New Roman"/>
      <w:snapToGrid/>
      <w:color w:val="auto"/>
      <w:kern w:val="2"/>
      <w:sz w:val="28"/>
      <w:szCs w:val="20"/>
      <w:lang w:eastAsia="zh-CN"/>
    </w:rPr>
  </w:style>
  <w:style w:type="paragraph" w:styleId="7">
    <w:name w:val="annotation text"/>
    <w:basedOn w:val="1"/>
    <w:link w:val="126"/>
    <w:semiHidden/>
    <w:unhideWhenUsed/>
    <w:qFormat/>
    <w:uiPriority w:val="99"/>
    <w:pPr>
      <w:widowControl w:val="0"/>
      <w:kinsoku/>
      <w:autoSpaceDE/>
      <w:autoSpaceDN/>
      <w:adjustRightInd/>
      <w:snapToGrid/>
      <w:textAlignment w:val="auto"/>
    </w:pPr>
    <w:rPr>
      <w:rFonts w:asciiTheme="minorHAnsi" w:hAnsiTheme="minorHAnsi" w:cstheme="minorBidi"/>
      <w:snapToGrid/>
      <w:color w:val="auto"/>
      <w:kern w:val="2"/>
      <w:szCs w:val="24"/>
      <w:lang w:eastAsia="zh-CN"/>
    </w:rPr>
  </w:style>
  <w:style w:type="paragraph" w:styleId="8">
    <w:name w:val="Body Text"/>
    <w:basedOn w:val="1"/>
    <w:semiHidden/>
    <w:qFormat/>
    <w:uiPriority w:val="0"/>
    <w:rPr>
      <w:rFonts w:ascii="宋体" w:hAnsi="宋体" w:eastAsia="宋体" w:cs="宋体"/>
      <w:sz w:val="30"/>
      <w:szCs w:val="30"/>
    </w:rPr>
  </w:style>
  <w:style w:type="paragraph" w:styleId="9">
    <w:name w:val="Body Text Indent"/>
    <w:basedOn w:val="1"/>
    <w:link w:val="125"/>
    <w:semiHidden/>
    <w:unhideWhenUsed/>
    <w:qFormat/>
    <w:uiPriority w:val="99"/>
    <w:pPr>
      <w:spacing w:after="120"/>
      <w:ind w:left="420" w:leftChars="200"/>
    </w:pPr>
  </w:style>
  <w:style w:type="paragraph" w:styleId="10">
    <w:name w:val="toc 5"/>
    <w:basedOn w:val="1"/>
    <w:next w:val="1"/>
    <w:autoRedefine/>
    <w:unhideWhenUsed/>
    <w:qFormat/>
    <w:uiPriority w:val="39"/>
    <w:pPr>
      <w:widowControl w:val="0"/>
      <w:kinsoku/>
      <w:autoSpaceDE/>
      <w:autoSpaceDN/>
      <w:adjustRightInd/>
      <w:snapToGrid/>
      <w:ind w:left="1680" w:leftChars="800"/>
      <w:jc w:val="both"/>
      <w:textAlignment w:val="auto"/>
    </w:pPr>
    <w:rPr>
      <w:rFonts w:asciiTheme="minorHAnsi" w:hAnsiTheme="minorHAnsi" w:cstheme="minorBidi"/>
      <w:snapToGrid/>
      <w:color w:val="auto"/>
      <w:kern w:val="2"/>
      <w:szCs w:val="22"/>
      <w:lang w:eastAsia="zh-CN"/>
      <w14:ligatures w14:val="standardContextual"/>
    </w:rPr>
  </w:style>
  <w:style w:type="paragraph" w:styleId="11">
    <w:name w:val="toc 3"/>
    <w:basedOn w:val="1"/>
    <w:next w:val="1"/>
    <w:autoRedefine/>
    <w:unhideWhenUsed/>
    <w:qFormat/>
    <w:uiPriority w:val="39"/>
    <w:pPr>
      <w:kinsoku/>
      <w:autoSpaceDE/>
      <w:autoSpaceDN/>
      <w:adjustRightInd/>
      <w:snapToGrid/>
      <w:spacing w:after="100" w:line="259" w:lineRule="auto"/>
      <w:ind w:left="440"/>
      <w:textAlignment w:val="auto"/>
    </w:pPr>
    <w:rPr>
      <w:rFonts w:cs="Times New Roman" w:asciiTheme="minorHAnsi" w:hAnsiTheme="minorHAnsi"/>
      <w:snapToGrid/>
      <w:color w:val="auto"/>
      <w:sz w:val="22"/>
      <w:szCs w:val="22"/>
      <w:lang w:eastAsia="zh-CN"/>
    </w:rPr>
  </w:style>
  <w:style w:type="paragraph" w:styleId="12">
    <w:name w:val="Plain Text"/>
    <w:basedOn w:val="1"/>
    <w:link w:val="124"/>
    <w:qFormat/>
    <w:uiPriority w:val="0"/>
    <w:pPr>
      <w:widowControl w:val="0"/>
      <w:kinsoku/>
      <w:autoSpaceDE/>
      <w:autoSpaceDN/>
      <w:adjustRightInd/>
      <w:snapToGrid/>
      <w:jc w:val="both"/>
      <w:textAlignment w:val="auto"/>
    </w:pPr>
    <w:rPr>
      <w:rFonts w:ascii="宋体" w:hAnsi="Courier New" w:cs="Courier New"/>
      <w:snapToGrid/>
      <w:color w:val="auto"/>
      <w:kern w:val="2"/>
      <w:lang w:eastAsia="zh-CN"/>
    </w:rPr>
  </w:style>
  <w:style w:type="paragraph" w:styleId="13">
    <w:name w:val="toc 8"/>
    <w:basedOn w:val="1"/>
    <w:next w:val="1"/>
    <w:autoRedefine/>
    <w:unhideWhenUsed/>
    <w:qFormat/>
    <w:uiPriority w:val="39"/>
    <w:pPr>
      <w:widowControl w:val="0"/>
      <w:kinsoku/>
      <w:autoSpaceDE/>
      <w:autoSpaceDN/>
      <w:adjustRightInd/>
      <w:snapToGrid/>
      <w:ind w:left="2940" w:leftChars="1400"/>
      <w:jc w:val="both"/>
      <w:textAlignment w:val="auto"/>
    </w:pPr>
    <w:rPr>
      <w:rFonts w:asciiTheme="minorHAnsi" w:hAnsiTheme="minorHAnsi" w:cstheme="minorBidi"/>
      <w:snapToGrid/>
      <w:color w:val="auto"/>
      <w:kern w:val="2"/>
      <w:szCs w:val="22"/>
      <w:lang w:eastAsia="zh-CN"/>
      <w14:ligatures w14:val="standardContextual"/>
    </w:rPr>
  </w:style>
  <w:style w:type="paragraph" w:styleId="14">
    <w:name w:val="footer"/>
    <w:basedOn w:val="1"/>
    <w:link w:val="33"/>
    <w:unhideWhenUsed/>
    <w:qFormat/>
    <w:uiPriority w:val="99"/>
    <w:pPr>
      <w:tabs>
        <w:tab w:val="center" w:pos="4153"/>
        <w:tab w:val="right" w:pos="8306"/>
      </w:tabs>
    </w:pPr>
    <w:rPr>
      <w:sz w:val="18"/>
      <w:szCs w:val="18"/>
    </w:rPr>
  </w:style>
  <w:style w:type="paragraph" w:styleId="15">
    <w:name w:val="header"/>
    <w:basedOn w:val="1"/>
    <w:link w:val="32"/>
    <w:unhideWhenUsed/>
    <w:qFormat/>
    <w:uiPriority w:val="99"/>
    <w:pPr>
      <w:tabs>
        <w:tab w:val="center" w:pos="4153"/>
        <w:tab w:val="right" w:pos="8306"/>
      </w:tabs>
      <w:jc w:val="center"/>
    </w:pPr>
    <w:rPr>
      <w:sz w:val="18"/>
      <w:szCs w:val="18"/>
    </w:rPr>
  </w:style>
  <w:style w:type="paragraph" w:styleId="16">
    <w:name w:val="toc 1"/>
    <w:basedOn w:val="1"/>
    <w:next w:val="1"/>
    <w:autoRedefine/>
    <w:unhideWhenUsed/>
    <w:qFormat/>
    <w:uiPriority w:val="39"/>
    <w:pPr>
      <w:kinsoku/>
      <w:autoSpaceDE/>
      <w:autoSpaceDN/>
      <w:adjustRightInd/>
      <w:snapToGrid/>
      <w:spacing w:after="100" w:line="259" w:lineRule="auto"/>
      <w:textAlignment w:val="auto"/>
    </w:pPr>
    <w:rPr>
      <w:rFonts w:cs="Times New Roman" w:asciiTheme="minorHAnsi" w:hAnsiTheme="minorHAnsi"/>
      <w:snapToGrid/>
      <w:color w:val="auto"/>
      <w:sz w:val="22"/>
      <w:szCs w:val="22"/>
      <w:lang w:eastAsia="zh-CN"/>
    </w:rPr>
  </w:style>
  <w:style w:type="paragraph" w:styleId="17">
    <w:name w:val="toc 4"/>
    <w:basedOn w:val="1"/>
    <w:next w:val="1"/>
    <w:autoRedefine/>
    <w:unhideWhenUsed/>
    <w:qFormat/>
    <w:uiPriority w:val="39"/>
    <w:pPr>
      <w:widowControl w:val="0"/>
      <w:kinsoku/>
      <w:autoSpaceDE/>
      <w:autoSpaceDN/>
      <w:adjustRightInd/>
      <w:snapToGrid/>
      <w:ind w:left="1260" w:leftChars="600"/>
      <w:jc w:val="both"/>
      <w:textAlignment w:val="auto"/>
    </w:pPr>
    <w:rPr>
      <w:rFonts w:asciiTheme="minorHAnsi" w:hAnsiTheme="minorHAnsi" w:cstheme="minorBidi"/>
      <w:snapToGrid/>
      <w:color w:val="auto"/>
      <w:kern w:val="2"/>
      <w:szCs w:val="22"/>
      <w:lang w:eastAsia="zh-CN"/>
      <w14:ligatures w14:val="standardContextual"/>
    </w:rPr>
  </w:style>
  <w:style w:type="paragraph" w:styleId="18">
    <w:name w:val="toc 6"/>
    <w:basedOn w:val="1"/>
    <w:next w:val="1"/>
    <w:autoRedefine/>
    <w:unhideWhenUsed/>
    <w:qFormat/>
    <w:uiPriority w:val="39"/>
    <w:pPr>
      <w:widowControl w:val="0"/>
      <w:kinsoku/>
      <w:autoSpaceDE/>
      <w:autoSpaceDN/>
      <w:adjustRightInd/>
      <w:snapToGrid/>
      <w:ind w:left="2100" w:leftChars="1000"/>
      <w:jc w:val="both"/>
      <w:textAlignment w:val="auto"/>
    </w:pPr>
    <w:rPr>
      <w:rFonts w:asciiTheme="minorHAnsi" w:hAnsiTheme="minorHAnsi" w:cstheme="minorBidi"/>
      <w:snapToGrid/>
      <w:color w:val="auto"/>
      <w:kern w:val="2"/>
      <w:szCs w:val="22"/>
      <w:lang w:eastAsia="zh-CN"/>
      <w14:ligatures w14:val="standardContextual"/>
    </w:rPr>
  </w:style>
  <w:style w:type="paragraph" w:styleId="19">
    <w:name w:val="toc 2"/>
    <w:basedOn w:val="1"/>
    <w:next w:val="1"/>
    <w:autoRedefine/>
    <w:unhideWhenUsed/>
    <w:qFormat/>
    <w:uiPriority w:val="39"/>
    <w:pPr>
      <w:kinsoku/>
      <w:autoSpaceDE/>
      <w:autoSpaceDN/>
      <w:adjustRightInd/>
      <w:snapToGrid/>
      <w:spacing w:after="100" w:line="259" w:lineRule="auto"/>
      <w:ind w:left="220"/>
      <w:textAlignment w:val="auto"/>
    </w:pPr>
    <w:rPr>
      <w:rFonts w:cs="Times New Roman" w:asciiTheme="minorHAnsi" w:hAnsiTheme="minorHAnsi"/>
      <w:snapToGrid/>
      <w:color w:val="auto"/>
      <w:sz w:val="22"/>
      <w:szCs w:val="22"/>
      <w:lang w:eastAsia="zh-CN"/>
    </w:rPr>
  </w:style>
  <w:style w:type="paragraph" w:styleId="20">
    <w:name w:val="toc 9"/>
    <w:basedOn w:val="1"/>
    <w:next w:val="1"/>
    <w:autoRedefine/>
    <w:unhideWhenUsed/>
    <w:qFormat/>
    <w:uiPriority w:val="39"/>
    <w:pPr>
      <w:widowControl w:val="0"/>
      <w:kinsoku/>
      <w:autoSpaceDE/>
      <w:autoSpaceDN/>
      <w:adjustRightInd/>
      <w:snapToGrid/>
      <w:ind w:left="3360" w:leftChars="1600"/>
      <w:jc w:val="both"/>
      <w:textAlignment w:val="auto"/>
    </w:pPr>
    <w:rPr>
      <w:rFonts w:asciiTheme="minorHAnsi" w:hAnsiTheme="minorHAnsi" w:cstheme="minorBidi"/>
      <w:snapToGrid/>
      <w:color w:val="auto"/>
      <w:kern w:val="2"/>
      <w:szCs w:val="22"/>
      <w:lang w:eastAsia="zh-CN"/>
      <w14:ligatures w14:val="standardContextual"/>
    </w:rPr>
  </w:style>
  <w:style w:type="paragraph" w:styleId="21">
    <w:name w:val="Normal (Web)"/>
    <w:basedOn w:val="1"/>
    <w:semiHidden/>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line number"/>
    <w:basedOn w:val="24"/>
    <w:semiHidden/>
    <w:unhideWhenUsed/>
    <w:qFormat/>
    <w:uiPriority w:val="99"/>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customStyle="1" w:styleId="28">
    <w:name w:val="标题 1 字符"/>
    <w:basedOn w:val="24"/>
    <w:link w:val="2"/>
    <w:qFormat/>
    <w:uiPriority w:val="9"/>
    <w:rPr>
      <w:b/>
      <w:bCs/>
      <w:kern w:val="44"/>
      <w:sz w:val="44"/>
      <w:szCs w:val="44"/>
    </w:rPr>
  </w:style>
  <w:style w:type="character" w:customStyle="1" w:styleId="29">
    <w:name w:val="标题 3 字符"/>
    <w:basedOn w:val="24"/>
    <w:link w:val="4"/>
    <w:semiHidden/>
    <w:qFormat/>
    <w:uiPriority w:val="9"/>
    <w:rPr>
      <w:b/>
      <w:bCs/>
      <w:sz w:val="32"/>
      <w:szCs w:val="32"/>
    </w:rPr>
  </w:style>
  <w:style w:type="table" w:customStyle="1" w:styleId="30">
    <w:name w:val="Table Normal"/>
    <w:semiHidden/>
    <w:unhideWhenUsed/>
    <w:qFormat/>
    <w:uiPriority w:val="2"/>
    <w:tblPr>
      <w:tblCellMar>
        <w:top w:w="0" w:type="dxa"/>
        <w:left w:w="0" w:type="dxa"/>
        <w:bottom w:w="0" w:type="dxa"/>
        <w:right w:w="0" w:type="dxa"/>
      </w:tblCellMar>
    </w:tblPr>
  </w:style>
  <w:style w:type="paragraph" w:customStyle="1" w:styleId="31">
    <w:name w:val="Table Text"/>
    <w:basedOn w:val="1"/>
    <w:semiHidden/>
    <w:qFormat/>
    <w:uiPriority w:val="0"/>
    <w:rPr>
      <w:rFonts w:ascii="宋体" w:hAnsi="宋体" w:eastAsia="宋体" w:cs="宋体"/>
      <w:sz w:val="28"/>
      <w:szCs w:val="28"/>
    </w:rPr>
  </w:style>
  <w:style w:type="character" w:customStyle="1" w:styleId="32">
    <w:name w:val="页眉 字符"/>
    <w:basedOn w:val="24"/>
    <w:link w:val="15"/>
    <w:qFormat/>
    <w:uiPriority w:val="99"/>
    <w:rPr>
      <w:sz w:val="18"/>
      <w:szCs w:val="18"/>
    </w:rPr>
  </w:style>
  <w:style w:type="character" w:customStyle="1" w:styleId="33">
    <w:name w:val="页脚 字符"/>
    <w:basedOn w:val="24"/>
    <w:link w:val="14"/>
    <w:qFormat/>
    <w:uiPriority w:val="99"/>
    <w:rPr>
      <w:sz w:val="18"/>
      <w:szCs w:val="18"/>
    </w:rPr>
  </w:style>
  <w:style w:type="character" w:customStyle="1" w:styleId="34">
    <w:name w:val="Unresolved Mention"/>
    <w:basedOn w:val="24"/>
    <w:semiHidden/>
    <w:unhideWhenUsed/>
    <w:qFormat/>
    <w:uiPriority w:val="99"/>
    <w:rPr>
      <w:color w:val="605E5C"/>
      <w:shd w:val="clear" w:color="auto" w:fill="E1DFDD"/>
    </w:rPr>
  </w:style>
  <w:style w:type="paragraph" w:customStyle="1" w:styleId="35">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F5597" w:themeColor="accent1" w:themeShade="BF"/>
      <w:kern w:val="0"/>
      <w:sz w:val="32"/>
      <w:szCs w:val="32"/>
      <w:lang w:eastAsia="zh-CN"/>
    </w:rPr>
  </w:style>
  <w:style w:type="paragraph" w:customStyle="1" w:styleId="36">
    <w:name w:val="msonormal"/>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lang w:eastAsia="zh-CN"/>
    </w:rPr>
  </w:style>
  <w:style w:type="paragraph" w:customStyle="1" w:styleId="37">
    <w:name w:val="font5"/>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38">
    <w:name w:val="font6"/>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0"/>
      <w:szCs w:val="20"/>
      <w:lang w:eastAsia="zh-CN"/>
    </w:rPr>
  </w:style>
  <w:style w:type="paragraph" w:customStyle="1" w:styleId="39">
    <w:name w:val="font7"/>
    <w:basedOn w:val="1"/>
    <w:qFormat/>
    <w:uiPriority w:val="0"/>
    <w:pPr>
      <w:kinsoku/>
      <w:autoSpaceDE/>
      <w:autoSpaceDN/>
      <w:adjustRightInd/>
      <w:snapToGrid/>
      <w:spacing w:before="100" w:beforeAutospacing="1" w:after="100" w:afterAutospacing="1"/>
      <w:textAlignment w:val="auto"/>
    </w:pPr>
    <w:rPr>
      <w:rFonts w:ascii="宋体" w:hAnsi="宋体" w:eastAsia="宋体" w:cs="宋体"/>
      <w:b/>
      <w:bCs/>
      <w:snapToGrid/>
      <w:color w:val="auto"/>
      <w:sz w:val="20"/>
      <w:szCs w:val="20"/>
      <w:lang w:eastAsia="zh-CN"/>
    </w:rPr>
  </w:style>
  <w:style w:type="paragraph" w:customStyle="1" w:styleId="40">
    <w:name w:val="font8"/>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20"/>
      <w:szCs w:val="20"/>
      <w:lang w:eastAsia="zh-CN"/>
    </w:rPr>
  </w:style>
  <w:style w:type="paragraph" w:customStyle="1" w:styleId="41">
    <w:name w:val="font9"/>
    <w:basedOn w:val="1"/>
    <w:qFormat/>
    <w:uiPriority w:val="0"/>
    <w:pPr>
      <w:kinsoku/>
      <w:autoSpaceDE/>
      <w:autoSpaceDN/>
      <w:adjustRightInd/>
      <w:snapToGrid/>
      <w:spacing w:before="100" w:beforeAutospacing="1" w:after="100" w:afterAutospacing="1"/>
      <w:textAlignment w:val="auto"/>
    </w:pPr>
    <w:rPr>
      <w:rFonts w:ascii="宋体" w:hAnsi="宋体" w:eastAsia="宋体" w:cs="宋体"/>
      <w:b/>
      <w:bCs/>
      <w:snapToGrid/>
      <w:color w:val="auto"/>
      <w:sz w:val="32"/>
      <w:szCs w:val="32"/>
      <w:lang w:eastAsia="zh-CN"/>
    </w:rPr>
  </w:style>
  <w:style w:type="paragraph" w:customStyle="1" w:styleId="42">
    <w:name w:val="font10"/>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32"/>
      <w:szCs w:val="32"/>
      <w:lang w:eastAsia="zh-CN"/>
    </w:rPr>
  </w:style>
  <w:style w:type="paragraph" w:customStyle="1" w:styleId="43">
    <w:name w:val="xl8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44">
    <w:name w:val="xl8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45">
    <w:name w:val="xl8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46">
    <w:name w:val="xl9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47">
    <w:name w:val="xl9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48">
    <w:name w:val="xl9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49">
    <w:name w:val="xl9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50">
    <w:name w:val="xl9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51">
    <w:name w:val="xl9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52">
    <w:name w:val="xl9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53">
    <w:name w:val="xl9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54">
    <w:name w:val="xl9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55">
    <w:name w:val="xl9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center"/>
    </w:pPr>
    <w:rPr>
      <w:rFonts w:ascii="Times New Roman" w:hAnsi="Times New Roman" w:eastAsia="宋体" w:cs="Times New Roman"/>
      <w:snapToGrid/>
      <w:color w:val="auto"/>
      <w:sz w:val="24"/>
      <w:szCs w:val="24"/>
      <w:lang w:eastAsia="zh-CN"/>
    </w:rPr>
  </w:style>
  <w:style w:type="paragraph" w:customStyle="1" w:styleId="56">
    <w:name w:val="xl10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4"/>
      <w:szCs w:val="24"/>
      <w:lang w:eastAsia="zh-CN"/>
    </w:rPr>
  </w:style>
  <w:style w:type="paragraph" w:customStyle="1" w:styleId="57">
    <w:name w:val="xl10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58">
    <w:name w:val="xl102"/>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23"/>
      <w:szCs w:val="23"/>
      <w:lang w:eastAsia="zh-CN"/>
    </w:rPr>
  </w:style>
  <w:style w:type="paragraph" w:customStyle="1" w:styleId="59">
    <w:name w:val="xl103"/>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b/>
      <w:bCs/>
      <w:snapToGrid/>
      <w:color w:val="auto"/>
      <w:sz w:val="20"/>
      <w:szCs w:val="20"/>
      <w:lang w:eastAsia="zh-CN"/>
    </w:rPr>
  </w:style>
  <w:style w:type="paragraph" w:customStyle="1" w:styleId="60">
    <w:name w:val="xl104"/>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61">
    <w:name w:val="xl105"/>
    <w:basedOn w:val="1"/>
    <w:qFormat/>
    <w:uiPriority w:val="0"/>
    <w:pP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2"/>
      <w:szCs w:val="22"/>
      <w:lang w:eastAsia="zh-CN"/>
    </w:rPr>
  </w:style>
  <w:style w:type="paragraph" w:customStyle="1" w:styleId="62">
    <w:name w:val="xl106"/>
    <w:basedOn w:val="1"/>
    <w:qFormat/>
    <w:uiPriority w:val="0"/>
    <w:pP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3"/>
      <w:szCs w:val="23"/>
      <w:lang w:eastAsia="zh-CN"/>
    </w:rPr>
  </w:style>
  <w:style w:type="paragraph" w:customStyle="1" w:styleId="63">
    <w:name w:val="xl107"/>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64">
    <w:name w:val="xl10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65">
    <w:name w:val="xl10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66">
    <w:name w:val="xl11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67">
    <w:name w:val="xl11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68">
    <w:name w:val="xl11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69">
    <w:name w:val="xl11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70">
    <w:name w:val="xl11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71">
    <w:name w:val="xl11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72">
    <w:name w:val="xl11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73">
    <w:name w:val="xl117"/>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18"/>
      <w:szCs w:val="18"/>
      <w:lang w:eastAsia="zh-CN"/>
    </w:rPr>
  </w:style>
  <w:style w:type="paragraph" w:customStyle="1" w:styleId="74">
    <w:name w:val="xl11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75">
    <w:name w:val="xl119"/>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76">
    <w:name w:val="xl120"/>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77">
    <w:name w:val="xl12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auto"/>
    </w:pPr>
    <w:rPr>
      <w:rFonts w:ascii="Times New Roman" w:hAnsi="Times New Roman" w:eastAsia="宋体" w:cs="Times New Roman"/>
      <w:snapToGrid/>
      <w:color w:val="auto"/>
      <w:sz w:val="20"/>
      <w:szCs w:val="20"/>
      <w:lang w:eastAsia="zh-CN"/>
    </w:rPr>
  </w:style>
  <w:style w:type="paragraph" w:customStyle="1" w:styleId="78">
    <w:name w:val="xl12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79">
    <w:name w:val="xl12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80">
    <w:name w:val="xl124"/>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81">
    <w:name w:val="xl12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82">
    <w:name w:val="xl126"/>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83">
    <w:name w:val="xl127"/>
    <w:basedOn w:val="1"/>
    <w:qFormat/>
    <w:uiPriority w:val="0"/>
    <w:pPr>
      <w:pBdr>
        <w:top w:val="single" w:color="auto" w:sz="4" w:space="0"/>
        <w:left w:val="single" w:color="auto" w:sz="4" w:space="0"/>
        <w:bottom w:val="single" w:color="auto" w:sz="4" w:space="0"/>
        <w:right w:val="double" w:color="auto" w:sz="6"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18"/>
      <w:szCs w:val="18"/>
      <w:lang w:eastAsia="zh-CN"/>
    </w:rPr>
  </w:style>
  <w:style w:type="paragraph" w:customStyle="1" w:styleId="84">
    <w:name w:val="xl128"/>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85">
    <w:name w:val="xl129"/>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textAlignment w:val="center"/>
    </w:pPr>
    <w:rPr>
      <w:rFonts w:ascii="Times New Roman" w:hAnsi="Times New Roman" w:eastAsia="宋体" w:cs="Times New Roman"/>
      <w:snapToGrid/>
      <w:color w:val="auto"/>
      <w:sz w:val="24"/>
      <w:szCs w:val="24"/>
      <w:lang w:eastAsia="zh-CN"/>
    </w:rPr>
  </w:style>
  <w:style w:type="paragraph" w:customStyle="1" w:styleId="86">
    <w:name w:val="xl130"/>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4"/>
      <w:szCs w:val="24"/>
      <w:lang w:eastAsia="zh-CN"/>
    </w:rPr>
  </w:style>
  <w:style w:type="paragraph" w:customStyle="1" w:styleId="87">
    <w:name w:val="xl131"/>
    <w:basedOn w:val="1"/>
    <w:qFormat/>
    <w:uiPriority w:val="0"/>
    <w:pPr>
      <w:pBdr>
        <w:top w:val="single" w:color="auto" w:sz="4" w:space="0"/>
        <w:left w:val="single" w:color="auto" w:sz="4" w:space="0"/>
        <w:bottom w:val="single" w:color="auto" w:sz="4" w:space="0"/>
        <w:right w:val="single" w:color="auto" w:sz="4" w:space="0"/>
      </w:pBdr>
      <w:shd w:val="clear" w:color="000000" w:fill="FFFFFF"/>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FF0000"/>
      <w:sz w:val="24"/>
      <w:szCs w:val="24"/>
      <w:lang w:eastAsia="zh-CN"/>
    </w:rPr>
  </w:style>
  <w:style w:type="paragraph" w:customStyle="1" w:styleId="88">
    <w:name w:val="xl132"/>
    <w:basedOn w:val="1"/>
    <w:qFormat/>
    <w:uiPriority w:val="0"/>
    <w:pPr>
      <w:pBdr>
        <w:top w:val="single" w:color="auto" w:sz="4" w:space="0"/>
        <w:left w:val="single" w:color="auto" w:sz="4" w:space="0"/>
        <w:bottom w:val="single" w:color="auto" w:sz="4" w:space="0"/>
      </w:pBdr>
      <w:shd w:val="clear" w:color="000000" w:fill="FFFFFF"/>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FF0000"/>
      <w:sz w:val="24"/>
      <w:szCs w:val="24"/>
      <w:lang w:eastAsia="zh-CN"/>
    </w:rPr>
  </w:style>
  <w:style w:type="paragraph" w:customStyle="1" w:styleId="89">
    <w:name w:val="xl13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90">
    <w:name w:val="xl13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91">
    <w:name w:val="xl13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92">
    <w:name w:val="xl136"/>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93">
    <w:name w:val="xl137"/>
    <w:basedOn w:val="1"/>
    <w:qFormat/>
    <w:uiPriority w:val="0"/>
    <w:pP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32"/>
      <w:szCs w:val="32"/>
      <w:lang w:eastAsia="zh-CN"/>
    </w:rPr>
  </w:style>
  <w:style w:type="paragraph" w:customStyle="1" w:styleId="94">
    <w:name w:val="xl138"/>
    <w:basedOn w:val="1"/>
    <w:qFormat/>
    <w:uiPriority w:val="0"/>
    <w:pP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32"/>
      <w:szCs w:val="32"/>
      <w:lang w:eastAsia="zh-CN"/>
    </w:rPr>
  </w:style>
  <w:style w:type="paragraph" w:customStyle="1" w:styleId="95">
    <w:name w:val="xl139"/>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96">
    <w:name w:val="xl140"/>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97">
    <w:name w:val="xl141"/>
    <w:basedOn w:val="1"/>
    <w:qFormat/>
    <w:uiPriority w:val="0"/>
    <w:pPr>
      <w:pBdr>
        <w:top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98">
    <w:name w:val="xl142"/>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99">
    <w:name w:val="xl14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00">
    <w:name w:val="xl144"/>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01">
    <w:name w:val="xl145"/>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02">
    <w:name w:val="xl146"/>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18"/>
      <w:szCs w:val="18"/>
      <w:lang w:eastAsia="zh-CN"/>
    </w:rPr>
  </w:style>
  <w:style w:type="paragraph" w:customStyle="1" w:styleId="103">
    <w:name w:val="xl147"/>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18"/>
      <w:szCs w:val="18"/>
      <w:lang w:eastAsia="zh-CN"/>
    </w:rPr>
  </w:style>
  <w:style w:type="paragraph" w:customStyle="1" w:styleId="104">
    <w:name w:val="xl148"/>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0"/>
      <w:szCs w:val="20"/>
      <w:lang w:eastAsia="zh-CN"/>
    </w:rPr>
  </w:style>
  <w:style w:type="paragraph" w:customStyle="1" w:styleId="105">
    <w:name w:val="xl149"/>
    <w:basedOn w:val="1"/>
    <w:qFormat/>
    <w:uiPriority w:val="0"/>
    <w:pPr>
      <w:pBdr>
        <w:top w:val="single" w:color="auto" w:sz="4" w:space="0"/>
        <w:bottom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auto"/>
      <w:sz w:val="20"/>
      <w:szCs w:val="20"/>
      <w:lang w:eastAsia="zh-CN"/>
    </w:rPr>
  </w:style>
  <w:style w:type="paragraph" w:customStyle="1" w:styleId="106">
    <w:name w:val="xl150"/>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宋体" w:cs="Times New Roman"/>
      <w:b/>
      <w:bCs/>
      <w:snapToGrid/>
      <w:color w:val="auto"/>
      <w:sz w:val="23"/>
      <w:szCs w:val="23"/>
      <w:lang w:eastAsia="zh-CN"/>
    </w:rPr>
  </w:style>
  <w:style w:type="paragraph" w:customStyle="1" w:styleId="107">
    <w:name w:val="xl151"/>
    <w:basedOn w:val="1"/>
    <w:qFormat/>
    <w:uiPriority w:val="0"/>
    <w:pPr>
      <w:pBdr>
        <w:top w:val="single" w:color="auto" w:sz="4" w:space="0"/>
        <w:left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08">
    <w:name w:val="xl152"/>
    <w:basedOn w:val="1"/>
    <w:qFormat/>
    <w:uiPriority w:val="0"/>
    <w:pPr>
      <w:pBdr>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09">
    <w:name w:val="xl15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snapToGrid/>
      <w:color w:val="FF0000"/>
      <w:sz w:val="20"/>
      <w:szCs w:val="20"/>
      <w:lang w:eastAsia="zh-CN"/>
    </w:rPr>
  </w:style>
  <w:style w:type="paragraph" w:customStyle="1" w:styleId="110">
    <w:name w:val="xl15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FF0000"/>
      <w:sz w:val="20"/>
      <w:szCs w:val="20"/>
      <w:lang w:eastAsia="zh-CN"/>
    </w:rPr>
  </w:style>
  <w:style w:type="paragraph" w:customStyle="1" w:styleId="111">
    <w:name w:val="font11"/>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18"/>
      <w:szCs w:val="18"/>
      <w:lang w:eastAsia="zh-CN"/>
    </w:rPr>
  </w:style>
  <w:style w:type="paragraph" w:customStyle="1" w:styleId="112">
    <w:name w:val="xl83"/>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b/>
      <w:bCs/>
      <w:snapToGrid/>
      <w:color w:val="auto"/>
      <w:sz w:val="20"/>
      <w:szCs w:val="20"/>
      <w:lang w:eastAsia="zh-CN"/>
    </w:rPr>
  </w:style>
  <w:style w:type="paragraph" w:customStyle="1" w:styleId="113">
    <w:name w:val="xl84"/>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14">
    <w:name w:val="xl85"/>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customStyle="1" w:styleId="115">
    <w:name w:val="xl86"/>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Times New Roman" w:hAnsi="Times New Roman" w:eastAsia="宋体" w:cs="Times New Roman"/>
      <w:b/>
      <w:bCs/>
      <w:snapToGrid/>
      <w:color w:val="auto"/>
      <w:sz w:val="20"/>
      <w:szCs w:val="20"/>
      <w:lang w:eastAsia="zh-CN"/>
    </w:rPr>
  </w:style>
  <w:style w:type="paragraph" w:styleId="116">
    <w:name w:val="List Paragraph"/>
    <w:basedOn w:val="1"/>
    <w:qFormat/>
    <w:uiPriority w:val="34"/>
    <w:pPr>
      <w:ind w:firstLine="420" w:firstLineChars="200"/>
    </w:pPr>
  </w:style>
  <w:style w:type="character" w:customStyle="1" w:styleId="117">
    <w:name w:val="font31"/>
    <w:basedOn w:val="24"/>
    <w:qFormat/>
    <w:uiPriority w:val="0"/>
    <w:rPr>
      <w:rFonts w:hint="default" w:ascii="Times New Roman" w:hAnsi="Times New Roman" w:cs="Times New Roman"/>
      <w:b/>
      <w:bCs/>
      <w:color w:val="000000"/>
      <w:sz w:val="20"/>
      <w:szCs w:val="20"/>
      <w:u w:val="none"/>
    </w:rPr>
  </w:style>
  <w:style w:type="character" w:customStyle="1" w:styleId="118">
    <w:name w:val="未处理的提及1"/>
    <w:basedOn w:val="24"/>
    <w:semiHidden/>
    <w:unhideWhenUsed/>
    <w:qFormat/>
    <w:uiPriority w:val="99"/>
    <w:rPr>
      <w:color w:val="605E5C"/>
      <w:shd w:val="clear" w:color="auto" w:fill="E1DFDD"/>
    </w:rPr>
  </w:style>
  <w:style w:type="paragraph" w:customStyle="1" w:styleId="119">
    <w:name w:val="TOC 标题1"/>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F5597" w:themeColor="accent1" w:themeShade="BF"/>
      <w:kern w:val="0"/>
      <w:sz w:val="32"/>
      <w:szCs w:val="32"/>
      <w:lang w:eastAsia="zh-CN"/>
    </w:rPr>
  </w:style>
  <w:style w:type="character" w:customStyle="1" w:styleId="120">
    <w:name w:val="font81"/>
    <w:basedOn w:val="24"/>
    <w:qFormat/>
    <w:uiPriority w:val="0"/>
    <w:rPr>
      <w:rFonts w:hint="eastAsia" w:ascii="宋体" w:hAnsi="宋体" w:eastAsia="宋体" w:cs="宋体"/>
      <w:b/>
      <w:bCs/>
      <w:color w:val="000000"/>
      <w:sz w:val="20"/>
      <w:szCs w:val="20"/>
      <w:u w:val="none"/>
    </w:rPr>
  </w:style>
  <w:style w:type="character" w:customStyle="1" w:styleId="121">
    <w:name w:val="font91"/>
    <w:basedOn w:val="24"/>
    <w:qFormat/>
    <w:uiPriority w:val="0"/>
    <w:rPr>
      <w:rFonts w:hint="eastAsia" w:ascii="宋体" w:hAnsi="宋体" w:eastAsia="宋体" w:cs="宋体"/>
      <w:color w:val="000000"/>
      <w:sz w:val="20"/>
      <w:szCs w:val="20"/>
      <w:u w:val="none"/>
    </w:rPr>
  </w:style>
  <w:style w:type="character" w:customStyle="1" w:styleId="122">
    <w:name w:val="font41"/>
    <w:basedOn w:val="24"/>
    <w:qFormat/>
    <w:uiPriority w:val="0"/>
    <w:rPr>
      <w:rFonts w:hint="default" w:ascii="Times New Roman" w:hAnsi="Times New Roman" w:cs="Times New Roman"/>
      <w:color w:val="000000"/>
      <w:sz w:val="20"/>
      <w:szCs w:val="20"/>
      <w:u w:val="none"/>
    </w:rPr>
  </w:style>
  <w:style w:type="character" w:customStyle="1" w:styleId="123">
    <w:name w:val="标题 2 字符"/>
    <w:basedOn w:val="24"/>
    <w:link w:val="3"/>
    <w:semiHidden/>
    <w:qFormat/>
    <w:uiPriority w:val="9"/>
    <w:rPr>
      <w:rFonts w:asciiTheme="majorHAnsi" w:hAnsiTheme="majorHAnsi" w:eastAsiaTheme="majorEastAsia" w:cstheme="majorBidi"/>
      <w:b/>
      <w:bCs/>
      <w:sz w:val="32"/>
      <w:szCs w:val="32"/>
    </w:rPr>
  </w:style>
  <w:style w:type="character" w:customStyle="1" w:styleId="124">
    <w:name w:val="纯文本 字符"/>
    <w:basedOn w:val="24"/>
    <w:link w:val="12"/>
    <w:qFormat/>
    <w:uiPriority w:val="0"/>
    <w:rPr>
      <w:rFonts w:ascii="宋体" w:hAnsi="Courier New" w:cs="Courier New"/>
      <w:snapToGrid/>
      <w:color w:val="auto"/>
      <w:kern w:val="2"/>
      <w:lang w:eastAsia="zh-CN"/>
    </w:rPr>
  </w:style>
  <w:style w:type="character" w:customStyle="1" w:styleId="125">
    <w:name w:val="正文文本缩进 字符"/>
    <w:basedOn w:val="24"/>
    <w:link w:val="9"/>
    <w:semiHidden/>
    <w:qFormat/>
    <w:uiPriority w:val="99"/>
  </w:style>
  <w:style w:type="character" w:customStyle="1" w:styleId="126">
    <w:name w:val="批注文字 字符"/>
    <w:basedOn w:val="24"/>
    <w:link w:val="7"/>
    <w:semiHidden/>
    <w:qFormat/>
    <w:uiPriority w:val="99"/>
    <w:rPr>
      <w:rFonts w:asciiTheme="minorHAnsi" w:hAnsiTheme="minorHAnsi" w:cstheme="minorBidi"/>
      <w:snapToGrid/>
      <w:color w:val="auto"/>
      <w:kern w:val="2"/>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6FCBA4-EE38-4495-90B6-E4EE1290A83B}">
  <ds:schemaRefs/>
</ds:datastoreItem>
</file>

<file path=docProps/app.xml><?xml version="1.0" encoding="utf-8"?>
<Properties xmlns="http://schemas.openxmlformats.org/officeDocument/2006/extended-properties" xmlns:vt="http://schemas.openxmlformats.org/officeDocument/2006/docPropsVTypes">
  <Template>Normal.dotm</Template>
  <Pages>52</Pages>
  <Words>30629</Words>
  <Characters>31827</Characters>
  <Lines>255</Lines>
  <Paragraphs>71</Paragraphs>
  <TotalTime>6</TotalTime>
  <ScaleCrop>false</ScaleCrop>
  <LinksUpToDate>false</LinksUpToDate>
  <CharactersWithSpaces>32276</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2024-09-11T09:54:00Z</dcterms:created>
  <dc:creator>admin</dc:creator>
  <cp:lastModifiedBy>20240322</cp:lastModifiedBy>
  <cp:lastPrinted>2025-03-06T02:23:28Z</cp:lastPrinted>
  <dcterms:modified xsi:type="dcterms:W3CDTF">2025-03-06T02:23:58Z</dcterms:modified>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2024-08-28T14:19:45Z</vt:filetime>
  </property>
  <property fmtid="{D5CDD505-2E9C-101B-9397-08002B2CF9AE}" pid="4" name="KSOTemplateDocerSaveRecord">
    <vt:lpwstr>eyJoZGlkIjoiNjE1NmU0MjcwY2M5OTY2ZjQ2ZTM5NWE1M2YwMWI4ZGIiLCJ1c2VySWQiOiI3MjIyNTczNDMifQ==</vt:lpwstr>
  </property>
  <property fmtid="{D5CDD505-2E9C-101B-9397-08002B2CF9AE}" pid="5" name="KSOProductBuildVer">
    <vt:lpwstr>2052-12.1.0.17140</vt:lpwstr>
  </property>
  <property fmtid="{D5CDD505-2E9C-101B-9397-08002B2CF9AE}" pid="6" name="ICV">
    <vt:lpwstr>7D9F1E7372594FE3B5075809B2216839_13</vt:lpwstr>
  </property>
</Properties>
</file>